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'1.0' encoding='UTF-8'?>
<Relationships xmlns="http://schemas.openxmlformats.org/package/2006/relationships"><Relationship Type="http://schemas.openxmlformats.org/officeDocument/2006/relationships/officeDocument" Target="word/document.xml" Id="R78e537b6884844e1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before="0" w:after="80"/>
        <w:jc w:val="center"/>
      </w:pPr>
      <w:r>
        <w:rPr>
          <w:rFonts w:ascii="Calibri" w:hAnsi="Calibri"/>
          <w:b/>
          <w:color w:val="1a2744"/>
          <w:sz w:val="36"/>
        </w:rPr>
        <w:t>PROCESS SERVER SAFETY CHECKLIST</w:t>
      </w:r>
    </w:p>
    <w:p>
      <w:pPr>
        <w:spacing w:after="160"/>
        <w:jc w:val="center"/>
      </w:pPr>
      <w:r>
        <w:rPr>
          <w:color w:val="555555"/>
          <w:sz w:val="20"/>
        </w:rPr>
        <w:t>Field safety guide for every serve. Review before each assignment.</w:t>
      </w:r>
    </w:p>
    <w:p>
      <w:pPr>
        <w:pStyle w:val="Heading1"/>
      </w:pPr>
      <w:r>
        <w:t>  1. PRE-DEPARTURE SAFETY  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Inform office of route and estimated return time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Charge phone fully; bring portable charger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Vehicle inspection: fuel, tires, lights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Check weather conditions for service area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Brief review of recipient's background (any safety flags?)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Confirm client has notified you of any known risks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Emergency contact list in phone and written in vehicle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Verify GPS / location sharing is active</w:t>
      </w:r>
    </w:p>
    <w:p>
      <w:pPr>
        <w:pStyle w:val="Heading1"/>
      </w:pPr>
      <w:r>
        <w:t>  2. ARRIVAL &amp; APPROACH SAFETY  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Park facing exit direction when possible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Observe surroundings before exiting vehicle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Look for dogs, security cameras, gates, warning signs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Note vehicle descriptions and license plates nearby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Identify yourself clearly as “process server” — not law enforcement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Stand at safe distance from door (arm's length +)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Be aware of escape routes</w:t>
      </w:r>
    </w:p>
    <w:p>
      <w:pPr>
        <w:pStyle w:val="Heading1"/>
      </w:pPr>
      <w:r>
        <w:t>  3. DURING SERVICE SAFETY  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Never enter a residence or business without explicit invitation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If recipient is hostile: back away, do not argue, leave documents if permitted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Do not engage in physical confrontation under any circumstances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If threatened: leave immediately, call 911 if necessary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If asked to leave private property: comply immediately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Never impersonate law enforcement or wear a badge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Maintain professional demeanor at all times</w:t>
      </w:r>
    </w:p>
    <w:p>
      <w:pPr>
        <w:pStyle w:val="Heading1"/>
      </w:pPr>
      <w:r>
        <w:t>  4. POST-SERVICE SAFETY  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Return to vehicle promptly after service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Document service details immediately (before leaving area)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Take GPS coordinates / photos from vehicle if safe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Debrief with office about any incidents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Update attempt log with complete details</w:t>
      </w:r>
    </w:p>
    <w:p>
      <w:pPr>
        <w:spacing w:before="40" w:after="40"/>
        <w:ind w:left="360"/>
      </w:pPr>
      <w:r>
        <w:rPr>
          <w:color w:val="333333"/>
          <w:sz w:val="22"/>
        </w:rPr>
        <w:t xml:space="preserve">☐ Report any threats or safety concerns to office and law enforcement if needed</w:t>
      </w:r>
    </w:p>
    <w:p>
      <w:pPr>
        <w:pStyle w:val="Heading1"/>
      </w:pPr>
      <w:r>
        <w:t>  EMERGENCY PROTOCOLS  </w:t>
      </w: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2400"/>
        <w:gridCol w:w="3800"/>
        <w:gridCol w:w="3800"/>
      </w:tblGrid>
      <w:tr>
        <w:trPr>
          <w:tblHeader/>
        </w:trPr>
        <w:tc>
          <w:tcPr>
            <w:tcW w:w="24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Situation</w:t>
            </w:r>
          </w:p>
        </w:tc>
        <w:tc>
          <w:tcPr>
            <w:tcW w:w="38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Immediate Action</w:t>
            </w:r>
          </w:p>
        </w:tc>
        <w:tc>
          <w:tcPr>
            <w:tcW w:w="38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Follow-Up</w:t>
            </w:r>
          </w:p>
        </w:tc>
      </w:tr>
      <w:tr>
        <w:tc>
          <w:tcPr>
            <w:tcW w:w="24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Hostile recipient</w:t>
            </w:r>
          </w:p>
        </w:tc>
        <w:tc>
          <w:tcPr>
            <w:tcW w:w="3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Leave calmly, return to vehicle</w:t>
            </w:r>
          </w:p>
        </w:tc>
        <w:tc>
          <w:tcPr>
            <w:tcW w:w="3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Notify office, consider law enforcement standby</w:t>
            </w:r>
          </w:p>
        </w:tc>
      </w:tr>
      <w:tr>
        <w:tc>
          <w:tcPr>
            <w:tcW w:w="2400" w:type="dxa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Threatened with weapon</w:t>
            </w:r>
          </w:p>
        </w:tc>
        <w:tc>
          <w:tcPr>
            <w:tcW w:w="3800" w:type="dxa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Leave immediately, call 911</w:t>
            </w:r>
          </w:p>
        </w:tc>
        <w:tc>
          <w:tcPr>
            <w:tcW w:w="3800" w:type="dxa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File police report, notify client</w:t>
            </w:r>
          </w:p>
        </w:tc>
      </w:tr>
      <w:tr>
        <w:tc>
          <w:tcPr>
            <w:tcW w:w="24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Dog attack</w:t>
            </w:r>
          </w:p>
        </w:tc>
        <w:tc>
          <w:tcPr>
            <w:tcW w:w="3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Do not enter, retreat to vehicle</w:t>
            </w:r>
          </w:p>
        </w:tc>
        <w:tc>
          <w:tcPr>
            <w:tcW w:w="3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Note in file, inform client</w:t>
            </w:r>
          </w:p>
        </w:tc>
      </w:tr>
      <w:tr>
        <w:tc>
          <w:tcPr>
            <w:tcW w:w="2400" w:type="dxa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Property damage accusation</w:t>
            </w:r>
          </w:p>
        </w:tc>
        <w:tc>
          <w:tcPr>
            <w:tcW w:w="3800" w:type="dxa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Document everything, photos</w:t>
            </w:r>
          </w:p>
        </w:tc>
        <w:tc>
          <w:tcPr>
            <w:tcW w:w="3800" w:type="dxa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Notify office, insurance if needed</w:t>
            </w:r>
          </w:p>
        </w:tc>
      </w:tr>
      <w:tr>
        <w:tc>
          <w:tcPr>
            <w:tcW w:w="24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Arrest / detainment</w:t>
            </w:r>
          </w:p>
        </w:tc>
        <w:tc>
          <w:tcPr>
            <w:tcW w:w="3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Remain calm, show license</w:t>
            </w:r>
          </w:p>
        </w:tc>
        <w:tc>
          <w:tcPr>
            <w:tcW w:w="3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Call office attorney, NAPPS hotline</w:t>
            </w:r>
          </w:p>
        </w:tc>
      </w:tr>
    </w:tbl>
    <w:p>
      <w:pPr>
        <w:spacing w:before="80"/>
      </w:pPr>
    </w:p>
    <w:p>
      <w:pPr>
        <w:pStyle w:val="Heading2"/>
      </w:pPr>
      <w:r>
        <w:t>Essential Emergency Numbers</w:t>
      </w:r>
    </w:p>
    <w:tbl>
      <w:tblPr>
        <w:tblW w:w="5000" w:type="pct"/>
        <w:tblBorders>
          <w:top w:val="single" w:color="d4a017" w:sz="8"/>
          <w:left w:val="single" w:color="d4a017" w:sz="8"/>
          <w:bottom w:val="single" w:color="d4a017" w:sz="8"/>
          <w:right w:val="single" w:color="d4a017" w:sz="8"/>
        </w:tblBorders>
      </w:tblPr>
      <w:tblGrid>
        <w:gridCol w:w="2500"/>
        <w:gridCol w:w="2500"/>
        <w:gridCol w:w="2500"/>
        <w:gridCol w:w="2500"/>
      </w:tblGrid>
      <w:tr>
        <w:tc>
          <w:tcPr>
            <w:tcW w:w="2500" w:type="dxa"/>
            <w:shd w:val="clear" w:fill="FFF8E7"/>
          </w:tcPr>
          <w:p>
            <w:pPr>
              <w:spacing w:before="60" w:after="20"/>
              <w:jc w:val="center"/>
            </w:pPr>
            <w:r>
              <w:rPr>
                <w:b/>
                <w:color w:val="1a2744"/>
                <w:sz w:val="24"/>
              </w:rPr>
              <w:t>911</w:t>
            </w:r>
          </w:p>
          <w:p>
            <w:pPr>
              <w:spacing w:before="0" w:after="60"/>
              <w:jc w:val="center"/>
            </w:pPr>
            <w:r>
              <w:rPr>
                <w:color w:val="555555"/>
                <w:sz w:val="16"/>
              </w:rPr>
              <w:t>Emergency</w:t>
            </w:r>
          </w:p>
        </w:tc>
        <w:tc>
          <w:tcPr>
            <w:tcW w:w="2500" w:type="dxa"/>
            <w:shd w:val="clear" w:fill="FFF8E7"/>
          </w:tcPr>
          <w:p>
            <w:pPr>
              <w:spacing w:before="60" w:after="20"/>
              <w:jc w:val="center"/>
            </w:pPr>
            <w:r>
              <w:rPr>
                <w:b/>
                <w:color w:val="1a2744"/>
                <w:sz w:val="24"/>
              </w:rPr>
              <w:t>(539) 367-6832</w:t>
            </w:r>
          </w:p>
          <w:p>
            <w:pPr>
              <w:spacing w:before="0" w:after="60"/>
              <w:jc w:val="center"/>
            </w:pPr>
            <w:r>
              <w:rPr>
                <w:color w:val="555555"/>
                <w:sz w:val="16"/>
              </w:rPr>
              <w:t>JLS Office</w:t>
            </w:r>
          </w:p>
        </w:tc>
        <w:tc>
          <w:tcPr>
            <w:tcW w:w="2500" w:type="dxa"/>
            <w:shd w:val="clear" w:fill="FFF8E7"/>
          </w:tcPr>
          <w:p>
            <w:pPr>
              <w:spacing w:before="60" w:after="20"/>
              <w:jc w:val="center"/>
            </w:pPr>
            <w:r>
              <w:rPr>
                <w:b/>
                <w:color w:val="1a2744"/>
                <w:sz w:val="24"/>
              </w:rPr>
              <w:t>Verify with OSBI</w:t>
            </w:r>
          </w:p>
          <w:p>
            <w:pPr>
              <w:spacing w:before="0" w:after="60"/>
              <w:jc w:val="center"/>
            </w:pPr>
            <w:r>
              <w:rPr>
                <w:color w:val="555555"/>
                <w:sz w:val="16"/>
              </w:rPr>
              <w:t>Oklahoma State Bureau of Investigation</w:t>
            </w:r>
          </w:p>
        </w:tc>
        <w:tc>
          <w:tcPr>
            <w:tcW w:w="2500" w:type="dxa"/>
            <w:shd w:val="clear" w:fill="FFF8E7"/>
          </w:tcPr>
          <w:p>
            <w:pPr>
              <w:spacing w:before="60" w:after="20"/>
              <w:jc w:val="center"/>
            </w:pPr>
            <w:r>
              <w:rPr>
                <w:b/>
                <w:color w:val="1a2744"/>
                <w:sz w:val="24"/>
              </w:rPr>
              <w:t>Verify with NAPPS</w:t>
            </w:r>
          </w:p>
          <w:p>
            <w:pPr>
              <w:spacing w:before="0" w:after="60"/>
              <w:jc w:val="center"/>
            </w:pPr>
            <w:r>
              <w:rPr>
                <w:color w:val="555555"/>
                <w:sz w:val="16"/>
              </w:rPr>
              <w:t>NAPPS Member Hotline</w:t>
            </w:r>
          </w:p>
        </w:tc>
      </w:tr>
    </w:tbl>
    <w:p>
      <w:pPr>
        <w:pStyle w:val="Heading2"/>
      </w:pPr>
      <w:r>
        <w:t>Oklahoma Rules to Remember</w:t>
      </w:r>
    </w:p>
    <w:tbl>
      <w:tblPr>
        <w:tblW w:w="5000" w:type="pct"/>
        <w:tblBorders>
          <w:top w:val="single" w:color="1a2744" w:sz="8"/>
          <w:left w:val="single" w:color="1a2744" w:sz="4"/>
          <w:bottom w:val="single" w:color="1a2744" w:sz="8"/>
          <w:right w:val="single" w:color="1a2744" w:sz="4"/>
          <w:insideH w:val="single" w:color="cccccc" w:sz="4"/>
        </w:tblBorders>
      </w:tblPr>
      <w:tblGrid>
        <w:gridCol w:w="3500"/>
        <w:gridCol w:w="6500"/>
      </w:tblGrid>
      <w:tr>
        <w:trPr>
          <w:tblHeader/>
        </w:trPr>
        <w:tc>
          <w:tcPr>
            <w:tcW w:w="35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Rule</w:t>
            </w:r>
          </w:p>
        </w:tc>
        <w:tc>
          <w:tcPr>
            <w:tcW w:w="65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What It Means for You</w:t>
            </w:r>
          </w:p>
        </w:tc>
      </w:tr>
      <w:tr>
        <w:tc>
          <w:tcPr>
            <w:tcW w:w="35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Tulsa County Rule 17</w:t>
            </w:r>
          </w:p>
        </w:tc>
        <w:tc>
          <w:tcPr>
            <w:tcW w:w="65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No weapons unless properly licensed. Badges are prohibited.</w:t>
            </w:r>
          </w:p>
        </w:tc>
      </w:tr>
      <w:tr>
        <w:tc>
          <w:tcPr>
            <w:tcW w:w="3500" w:type="dxa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12 O.S. §158.1</w:t>
            </w:r>
          </w:p>
        </w:tc>
        <w:tc>
          <w:tcPr>
            <w:tcW w:w="6500" w:type="dxa"/>
          </w:tcPr>
          <w:p>
            <w:pPr>
              <w:spacing w:before="60" w:after="60"/>
            </w:pPr>
            <w:r>
              <w:rPr>
                <w:color w:val="333333"/>
                <w:sz w:val="20"/>
              </w:rPr>
              <w:t>License must be displayed when requested during service of process.</w:t>
            </w:r>
          </w:p>
        </w:tc>
      </w:tr>
    </w:tbl>
    <w:p>
      <w:pPr>
        <w:spacing w:before="300"/>
      </w:pPr>
    </w:p>
    <w:tbl>
      <w:tblPr>
        <w:tblW w:w="5000" w:type="pct"/>
        <w:tblBorders>
          <w:top w:val="single" w:color="d4a017" w:sz="6"/>
          <w:bottom w:val="single" w:color="d4a017" w:sz="6"/>
        </w:tblBorders>
      </w:tblPr>
      <w:tblGrid>
        <w:gridCol w:w="10000"/>
      </w:tblGrid>
      <w:tr>
        <w:tc>
          <w:tcPr>
            <w:tcW w:w="10000" w:type="dxa"/>
            <w:shd w:val="clear" w:fill="FFF8E7"/>
          </w:tcPr>
          <w:p>
            <w:pPr>
              <w:spacing w:before="80" w:after="80"/>
              <w:jc w:val="center"/>
            </w:pPr>
            <w:r>
              <w:rPr>
                <w:b/>
                <w:color w:val="1a2744"/>
                <w:sz w:val="18"/>
              </w:rPr>
              <w:t>NOT A LAW FIRM</w:t>
            </w:r>
          </w:p>
          <w:p>
            <w:pPr>
              <w:spacing w:before="0" w:after="80"/>
              <w:jc w:val="center"/>
            </w:pPr>
            <w:r>
              <w:rPr>
                <w:color w:val="555555"/>
                <w:sz w:val="18"/>
              </w:rPr>
              <w:t>This document provides procedural information only. It is not legal advice.</w:t>
            </w:r>
          </w:p>
          <w:p>
            <w:pPr>
              <w:spacing w:before="0" w:after="80"/>
              <w:jc w:val="center"/>
            </w:pPr>
            <w:r>
              <w:rPr>
                <w:color w:val="777777"/>
                <w:sz w:val="16"/>
              </w:rPr>
              <w:t>Verify all statutes and rules with official sources before relying on them.</w:t>
            </w:r>
          </w:p>
        </w:tc>
      </w:tr>
    </w:tbl>
    <w:sectPr>
      <w:headerReference w:type="default" r:id="R73057a1cc1904a29"/>
      <w:footerReference w:type="default" r:id="R314cd766fb2b4a87"/>
      <w:pgSz w:w="12240" w:h="15840"/>
      <w:pgMar w:top="1200" w:right="1440" w:bottom="1440" w:left="1440" w:header="720" w:footer="720"/>
    </w:sectPr>
  </w:body>
</w:document>
</file>

<file path=word/footer1.xml><?xml version="1.0" encoding="utf-8"?>
<w:ftr xmlns:w="http://schemas.openxmlformats.org/wordprocessingml/2006/main">
  <w:p>
    <w:pPr>
      <w:spacing w:before="60" w:after="0"/>
      <w:jc w:val="center"/>
    </w:pPr>
    <w:r>
      <w:rPr>
        <w:color w:val="777777"/>
        <w:sz w:val="16"/>
      </w:rPr>
      <w:t>Just Legal Solutions · (539) 367-6832 · info@JustLegalSolutions.org · justlegalsolutions.org · Joseph Iannazzi, NAPPS #14801</w:t>
    </w:r>
  </w:p>
  <w:p>
    <w:pPr>
      <w:spacing w:before="0" w:after="0"/>
      <w:jc w:val="center"/>
    </w:pPr>
    <w:r>
      <w:rPr>
        <w:color w:val="777777"/>
        <w:sz w:val="14"/>
      </w:rPr>
      <w:t>v1.0 · 2026-04-20 · Verify before relying on procedural details · Next review: 2026-10-20</w:t>
    </w:r>
  </w:p>
</w:ftr>
</file>

<file path=word/header1.xml><?xml version="1.0" encoding="utf-8"?>
<w:hdr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p>
    <w:pPr>
      <w:spacing w:after="0"/>
      <w:jc w:val="center"/>
    </w:pPr>
    <w:r>
      <w:drawing>
        <wp:inline distT="0" distB="0" distL="0" distR="0">
          <wp:extent cx="1200000" cy="1200000"/>
          <wp:effectExtent l="0" t="0" r="0" b="0"/>
          <wp:docPr id="1" name="JLSLogo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JLS-Logo.png"/>
                  <pic:cNvPicPr/>
                </pic:nvPicPr>
                <pic:blipFill>
                  <a:blip r:embed="Rc0d177d4b5814550"/>
                  <a:stretch>
                    <a:fillRect/>
                  </a:stretch>
                </pic:blipFill>
                <pic:spPr>
                  <a:xfrm>
                    <a:off x="0" y="0"/>
                    <a:ext cx="1200000" cy="1200000"/>
                  </a:xfrm>
                  <a:prstGeom prst="rect"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>
  <w:style w:type="paragraph" w:styleId="Normal" w:default="true">
    <w:name w:val="Normal"/>
    <w:pPr>
      <w:spacing w:after="120" w:line="276" w:lineRule="auto"/>
    </w:pPr>
    <w:rPr>
      <w:rFonts w:ascii="Calibri" w:hAnsi="Calibri" w:eastAsia="Calibri"/>
      <w:color w:val="333333"/>
      <w:sz w:val="22"/>
    </w:rPr>
  </w:style>
  <w:style w:type="paragraph" w:styleId="Heading1">
    <w:name w:val="heading 1"/>
    <w:basedOn w:val="Normal"/>
    <w:pPr>
      <w:keepNext/>
      <w:keepLines/>
      <w:shd w:val="clear" w:fill="1a2744"/>
      <w:spacing w:before="300" w:after="120"/>
      <w:outlineLvl w:val="0"/>
    </w:pPr>
    <w:rPr>
      <w:rFonts w:ascii="Calibri" w:hAnsi="Calibri"/>
      <w:b/>
      <w:color w:val="FFFFFF"/>
      <w:sz w:val="26"/>
    </w:rPr>
  </w:style>
  <w:style w:type="paragraph" w:styleId="Heading2">
    <w:name w:val="heading 2"/>
    <w:basedOn w:val="Normal"/>
    <w:pPr>
      <w:keepNext/>
      <w:keepLines/>
      <w:spacing w:before="240" w:after="80"/>
      <w:outlineLvl w:val="1"/>
    </w:pPr>
    <w:rPr>
      <w:b/>
      <w:color w:val="1a2744"/>
      <w:sz w:val="24"/>
    </w:rPr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e7d5c4d8d0e544b0" /><Relationship Type="http://schemas.openxmlformats.org/officeDocument/2006/relationships/header" Target="header1.xml" Id="R73057a1cc1904a29" /><Relationship Type="http://schemas.openxmlformats.org/officeDocument/2006/relationships/footer" Target="footer1.xml" Id="R314cd766fb2b4a87" /><Relationship Type="http://schemas.openxmlformats.org/officeDocument/2006/relationships/settings" Target="settings.xml" Id="R05f6b34586294f4c" /></Relationships>
</file>

<file path=word/_rels/header1.xml.rels><?xml version='1.0' encoding='UTF-8'?>
<Relationships xmlns="http://schemas.openxmlformats.org/package/2006/relationships"><Relationship Type="http://schemas.openxmlformats.org/officeDocument/2006/relationships/image" Target="media/image.png" Id="Rc0d177d4b5814550" /></Relationships>
</file>