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styles.xml" ContentType="application/vnd.openxmlformats-officedocument.wordprocessingml.styles+xml"/>
  <Override PartName="/word/numbering.xml" ContentType="application/vnd.openxmlformats-officedocument.wordprocessingml.numbering+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Relationships xmlns="http://schemas.openxmlformats.org/package/2006/relationships"><Relationship Type="http://schemas.openxmlformats.org/officeDocument/2006/relationships/officeDocument" Target="word/document.xml" Id="Re456d88ea26b4087"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 name="CoverBg"/>
            <wp:cNvGraphicFramePr>
              <a:graphicFrameLocks noChangeAspect="1"/>
            </wp:cNvGraphicFramePr>
            <a:graphic>
              <a:graphicData uri="http://schemas.openxmlformats.org/drawingml/2006/picture">
                <pic:pic>
                  <pic:nvPicPr>
                    <pic:cNvPr id="0" name="CoverBg.png"/>
                    <pic:cNvPicPr/>
                  </pic:nvPicPr>
                  <pic:blipFill>
                    <a:blip r:embed="R4f32ab61c49f4aa8"/>
                    <a:stretch>
                      <a:fillRect/>
                    </a:stretch>
                  </pic:blipFill>
                  <pic:spPr>
                    <a:xfrm>
                      <a:off x="0" y="0"/>
                      <a:ext cx="7772400" cy="10058400"/>
                    </a:xfrm>
                    <a:prstGeom prst="rect"/>
                  </pic:spPr>
                </pic:pic>
              </a:graphicData>
            </a:graphic>
          </wp:anchor>
        </w:drawing>
      </w:r>
    </w:p>
    <w:p>
      <w:pPr>
        <w:spacing w:before="400" w:after="80"/>
        <w:jc w:val="center"/>
      </w:pPr>
      <w:r>
        <w:drawing>
          <wp:inline distT="0" distB="0" distL="0" distR="0">
            <wp:extent cx="900000" cy="900000"/>
            <wp:effectExtent l="0" t="0" r="0" b="0"/>
            <wp:docPr id="2" name="JLSLogo"/>
            <wp:cNvGraphicFramePr>
              <a:graphicFrameLocks noChangeAspect="1"/>
            </wp:cNvGraphicFramePr>
            <a:graphic>
              <a:graphicData uri="http://schemas.openxmlformats.org/drawingml/2006/picture">
                <pic:pic>
                  <pic:nvPicPr>
                    <pic:cNvPr id="0" name="JLSLogo.png"/>
                    <pic:cNvPicPr/>
                  </pic:nvPicPr>
                  <pic:blipFill>
                    <a:blip r:embed="R5f3802b96d9045c4"/>
                    <a:stretch>
                      <a:fillRect/>
                    </a:stretch>
                  </pic:blipFill>
                  <pic:spPr>
                    <a:xfrm>
                      <a:off x="0" y="0"/>
                      <a:ext cx="900000" cy="900000"/>
                    </a:xfrm>
                    <a:prstGeom prst="rect"/>
                  </pic:spPr>
                </pic:pic>
              </a:graphicData>
            </a:graphic>
          </wp:inline>
        </w:drawing>
      </w:r>
    </w:p>
    <w:p>
      <w:pPr>
        <w:spacing w:before="2000"/>
      </w:pPr>
      <w:r/>
    </w:p>
    <w:p>
      <w:pPr>
        <w:spacing w:after="120"/>
        <w:jc w:val="center"/>
      </w:pPr>
      <w:r>
        <w:rPr>
          <w:b/>
          <w:color w:val="d4a017"/>
          <w:spacing w:val="20"/>
          <w:sz w:val="72"/>
        </w:rPr>
        <w:t>Process Server</w:t>
      </w:r>
    </w:p>
    <w:p>
      <w:pPr>
        <w:spacing w:after="200"/>
        <w:jc w:val="center"/>
      </w:pPr>
      <w:r>
        <w:rPr>
          <w:b/>
          <w:color w:val="d4a017"/>
          <w:spacing w:val="20"/>
          <w:sz w:val="72"/>
        </w:rPr>
        <w:t>Myths vs. Reality</w:t>
      </w:r>
    </w:p>
    <w:p>
      <w:pPr>
        <w:spacing w:after="400"/>
        <w:jc w:val="center"/>
      </w:pPr>
      <w:r>
        <w:rPr>
          <w:color w:val="FFFFFF"/>
          <w:sz w:val="28"/>
        </w:rPr>
        <w:t>What TV Gets Wrong About Service of Process in Oklahoma</w:t>
      </w:r>
    </w:p>
    <w:p>
      <w:pPr>
        <w:spacing w:after="400"/>
        <w:jc w:val="center"/>
      </w:pPr>
      <w:r>
        <w:rPr>
          <w:color w:val="d4a017"/>
        </w:rPr>
        <w:t>________________________________________</w:t>
      </w:r>
    </w:p>
    <w:p>
      <w:pPr>
        <w:spacing w:after="200"/>
        <w:jc w:val="center"/>
      </w:pPr>
      <w:r>
        <w:rPr>
          <w:color w:val="b0b8c8"/>
          <w:sz w:val="22"/>
        </w:rPr>
        <w:t>Facts, Not Fiction. Know Your Rights.</w:t>
      </w:r>
    </w:p>
    <w:p>
      <w:pPr>
        <w:spacing w:before="2000"/>
        <w:jc w:val="center"/>
      </w:pPr>
      <w:r>
        <w:rPr>
          <w:color w:val="8899aa"/>
          <w:sz w:val="20"/>
        </w:rPr>
        <w:t>Just Legal Solutions  |  justlegalsolutions.org</w:t>
      </w:r>
    </w:p>
    <w:p>
      <w:pPr>
        <w:sectPr>
          <w:type w:val="nextPage"/>
          <w:pgSz w:w="12240" w:h="15840"/>
          <w:pgMar w:top="0" w:right="0" w:bottom="0" w:left="0" w:header="0" w:footer="0"/>
          <w:titlePg/>
        </w:sectPr>
      </w:pPr>
    </w:p>
    <w:p>
      <w:pPr>
        <w:pStyle w:val="Heading1"/>
      </w:pPr>
      <w:r>
        <w:t>Table of Contents</w:t>
      </w:r>
      <w:bookmarkStart w:name="_Toc000" w:id="1"/>
      <w:bookmarkEnd w:id="1"/>
    </w:p>
    <w:p>
      <w:pPr>
        <w:spacing w:after="200"/>
      </w:pPr>
      <w:r>
        <w:rPr>
          <w:color w:val="6b6b6b"/>
          <w:sz w:val="18"/>
        </w:rPr>
        <w:t>Right-click the TOC and select "Update Field" to refresh page numbers</w:t>
      </w:r>
    </w:p>
    <w:p>
      <w:r>
        <w:fldChar w:fldCharType="begin"/>
      </w:r>
      <w:r>
        <w:instrText xml:space="preserve"> TOC \o "1-3" \h \z \u </w:instrText>
      </w:r>
      <w:r>
        <w:fldChar w:fldCharType="separate"/>
      </w:r>
    </w:p>
    <w:p>
      <w:pPr>
        <w:pStyle w:val="TOC1"/>
      </w:pPr>
      <w:r>
        <w:t>Introduction</w:t>
      </w:r>
      <w:r>
        <w:tab/>
      </w:r>
      <w:r>
        <w:t>3</w:t>
      </w:r>
    </w:p>
    <w:p>
      <w:pPr>
        <w:pStyle w:val="TOC1"/>
      </w:pPr>
      <w:r>
        <w:t>Myth vs. Reality</w:t>
      </w:r>
      <w:r>
        <w:tab/>
      </w:r>
      <w:r>
        <w:t>3</w:t>
      </w:r>
    </w:p>
    <w:p>
      <w:pPr>
        <w:pStyle w:val="TOC1"/>
      </w:pPr>
      <w:r>
        <w:t>How Service Actually Works</w:t>
      </w:r>
      <w:r>
        <w:tab/>
      </w:r>
      <w:r>
        <w:t>5</w:t>
      </w:r>
    </w:p>
    <w:p>
      <w:pPr>
        <w:pStyle w:val="TOC1"/>
      </w:pPr>
      <w:r>
        <w:t>Your Rights When Being Served</w:t>
      </w:r>
      <w:r>
        <w:tab/>
      </w:r>
      <w:r>
        <w:t>5</w:t>
      </w:r>
    </w:p>
    <w:p>
      <w:pPr>
        <w:pStyle w:val="TOC1"/>
      </w:pPr>
      <w:r>
        <w:t>Quick Facts About Service in Oklahoma</w:t>
      </w:r>
      <w:r>
        <w:tab/>
      </w:r>
      <w:r>
        <w:t>6</w:t>
      </w:r>
    </w:p>
    <w:p>
      <w:pPr>
        <w:pStyle w:val="TOC1"/>
      </w:pPr>
      <w:r>
        <w:t>Important Disclaimer</w:t>
      </w:r>
      <w:r>
        <w:tab/>
      </w:r>
      <w:r>
        <w:t>7</w:t>
      </w:r>
    </w:p>
    <w:p>
      <w:r>
        <w:fldChar w:fldCharType="end"/>
      </w:r>
    </w:p>
    <w:p>
      <w:pPr>
        <w:sectPr>
          <w:type w:val="nextPage"/>
          <w:pgSz w:w="12240" w:h="15840"/>
          <w:pgMar w:top="1440" w:right="1440" w:bottom="1440" w:left="1440" w:header="720" w:footer="720"/>
        </w:sectPr>
      </w:pPr>
    </w:p>
    <w:p>
      <w:pPr>
        <w:pStyle w:val="Heading1"/>
      </w:pPr>
      <w:r>
        <w:t>Introduction</w:t>
      </w:r>
      <w:bookmarkStart w:name="_Toc001" w:id="2"/>
      <w:bookmarkEnd w:id="2"/>
    </w:p>
    <w:p>
      <w:r>
        <w:t>Movies and TV shows love to dramatize process servers. They show people in disguises, car chases, and late-night confrontations. In real life, service of process is much simpler and more professional.</w:t>
      </w:r>
    </w:p>
    <w:p>
      <w:r>
        <w:t>This guide separates fact from fiction. We explain what process servers really do, what your rights are, and how service of process works under Oklahoma law. All information is based on current Oklahoma statutes.</w:t>
      </w:r>
    </w:p>
    <w:p>
      <w:pPr>
        <w:pBdr>
          <w:left w:val="single" w:color="d4a017" w:sz="18"/>
        </w:pBdr>
        <w:shd w:val="clear" w:fill="f5f5f5"/>
        <w:spacing w:before="200" w:after="200"/>
        <w:ind w:left="200" w:right="200"/>
      </w:pPr>
      <w:r>
        <w:rPr>
          <w:i/>
          <w:color w:val="4a4a4a"/>
          <w:sz w:val="20"/>
        </w:rPr>
        <w:t>If you have specific legal questions about your case, contact a licensed attorney. This guide provides general information only.</w:t>
      </w:r>
    </w:p>
    <w:p>
      <w:pPr>
        <w:pStyle w:val="Heading1"/>
      </w:pPr>
      <w:r>
        <w:t>Myth vs. Reality</w:t>
      </w:r>
      <w:bookmarkStart w:name="_Toc002" w:id="3"/>
      <w:bookmarkEnd w:id="3"/>
    </w:p>
    <w:p>
      <w:r>
        <w:t>Here are the most common myths about process servers and the real facts behind each one:</w:t>
      </w:r>
    </w:p>
    <w:tbl>
      <w:tblPr>
        <w:tblW w:w="5000" w:type="pct"/>
        <w:tblBorders>
          <w:top w:val="single" w:color="1a2744" w:sz="12"/>
          <w:left w:val="nil"/>
          <w:bottom w:val="single" w:color="1a2744" w:sz="12"/>
          <w:right w:val="nil"/>
          <w:insideH w:val="single" w:color="d4cfc2" w:sz="4"/>
        </w:tblBorders>
      </w:tblPr>
      <w:tblGrid>
        <w:gridCol w:w="800"/>
        <w:gridCol w:w="4200"/>
        <w:gridCol w:w="5000"/>
      </w:tblGrid>
      <w:tr>
        <w:trPr>
          <w:tblHeader/>
        </w:trPr>
        <w:tc>
          <w:tcPr>
            <w:tcW w:w="800" w:type="dxa"/>
            <w:shd w:val="clear" w:fill="1a2744"/>
          </w:tcPr>
          <w:p>
            <w:pPr>
              <w:spacing w:before="60" w:after="60"/>
            </w:pPr>
            <w:r>
              <w:rPr>
                <w:b/>
                <w:color w:val="FFFFFF"/>
                <w:sz w:val="20"/>
              </w:rPr>
              <w:t>#</w:t>
            </w:r>
          </w:p>
        </w:tc>
        <w:tc>
          <w:tcPr>
            <w:tcW w:w="4200" w:type="dxa"/>
            <w:shd w:val="clear" w:fill="1a2744"/>
          </w:tcPr>
          <w:p>
            <w:pPr>
              <w:spacing w:before="60" w:after="60"/>
            </w:pPr>
            <w:r>
              <w:rPr>
                <w:b/>
                <w:color w:val="FFFFFF"/>
                <w:sz w:val="20"/>
              </w:rPr>
              <w:t>The Myth</w:t>
            </w:r>
          </w:p>
        </w:tc>
        <w:tc>
          <w:tcPr>
            <w:tcW w:w="5000" w:type="dxa"/>
            <w:shd w:val="clear" w:fill="1a2744"/>
          </w:tcPr>
          <w:p>
            <w:pPr>
              <w:spacing w:before="60" w:after="60"/>
            </w:pPr>
            <w:r>
              <w:rPr>
                <w:b/>
                <w:color w:val="FFFFFF"/>
                <w:sz w:val="20"/>
              </w:rPr>
              <w:t>The Reality</w:t>
            </w:r>
          </w:p>
        </w:tc>
      </w:tr>
      <w:tr>
        <w:tc>
          <w:tcPr>
            <w:tcW w:w="800" w:type="dxa"/>
            <w:shd w:val="clear" w:fill="FFFFFF"/>
          </w:tcPr>
          <w:p>
            <w:pPr>
              <w:spacing w:before="60" w:after="60"/>
              <w:jc w:val="center"/>
            </w:pPr>
            <w:r>
              <w:rPr>
                <w:b/>
                <w:color w:val="d4a017"/>
                <w:sz w:val="20"/>
              </w:rPr>
              <w:t>1</w:t>
            </w:r>
          </w:p>
        </w:tc>
        <w:tc>
          <w:tcPr>
            <w:tcW w:w="4200" w:type="dxa"/>
            <w:shd w:val="clear" w:fill="FFFFFF"/>
          </w:tcPr>
          <w:p>
            <w:pPr>
              <w:spacing w:before="60" w:after="60"/>
            </w:pPr>
            <w:r>
              <w:rPr>
                <w:b/>
                <w:color w:val="8b2500"/>
                <w:sz w:val="20"/>
              </w:rPr>
              <w:t>MYTH: </w:t>
            </w:r>
            <w:r>
              <w:rPr>
                <w:color w:val="1a1a1a"/>
                <w:sz w:val="20"/>
              </w:rPr>
              <w:t>Process servers are police officers.</w:t>
            </w:r>
          </w:p>
        </w:tc>
        <w:tc>
          <w:tcPr>
            <w:tcW w:w="5000" w:type="dxa"/>
            <w:shd w:val="clear" w:fill="FFFFFF"/>
          </w:tcPr>
          <w:p>
            <w:pPr>
              <w:spacing w:before="60" w:after="60"/>
            </w:pPr>
            <w:r>
              <w:rPr>
                <w:b/>
                <w:color w:val="2e5a2e"/>
                <w:sz w:val="20"/>
              </w:rPr>
              <w:t>FACT: </w:t>
            </w:r>
            <w:r>
              <w:rPr>
                <w:color w:val="1a1a1a"/>
                <w:sz w:val="20"/>
              </w:rPr>
              <w:t>No. Process servers are private citizens licensed by the court. They are not law enforcement. 12 O.S. §158.1</w:t>
            </w:r>
          </w:p>
        </w:tc>
      </w:tr>
      <w:tr>
        <w:tc>
          <w:tcPr>
            <w:tcW w:w="800" w:type="dxa"/>
            <w:shd w:val="clear" w:fill="f9f9f9"/>
          </w:tcPr>
          <w:p>
            <w:pPr>
              <w:spacing w:before="60" w:after="60"/>
              <w:jc w:val="center"/>
            </w:pPr>
            <w:r>
              <w:rPr>
                <w:b/>
                <w:color w:val="d4a017"/>
                <w:sz w:val="20"/>
              </w:rPr>
              <w:t>2</w:t>
            </w:r>
          </w:p>
        </w:tc>
        <w:tc>
          <w:tcPr>
            <w:tcW w:w="4200" w:type="dxa"/>
            <w:shd w:val="clear" w:fill="f9f9f9"/>
          </w:tcPr>
          <w:p>
            <w:pPr>
              <w:spacing w:before="60" w:after="60"/>
            </w:pPr>
            <w:r>
              <w:rPr>
                <w:b/>
                <w:color w:val="8b2500"/>
                <w:sz w:val="20"/>
              </w:rPr>
              <w:t>MYTH: </w:t>
            </w:r>
            <w:r>
              <w:rPr>
                <w:color w:val="1a1a1a"/>
                <w:sz w:val="20"/>
              </w:rPr>
              <w:t>You can refuse to accept the papers.</w:t>
            </w:r>
          </w:p>
        </w:tc>
        <w:tc>
          <w:tcPr>
            <w:tcW w:w="5000" w:type="dxa"/>
            <w:shd w:val="clear" w:fill="f9f9f9"/>
          </w:tcPr>
          <w:p>
            <w:pPr>
              <w:spacing w:before="60" w:after="60"/>
            </w:pPr>
            <w:r>
              <w:rPr>
                <w:b/>
                <w:color w:val="2e5a2e"/>
                <w:sz w:val="20"/>
              </w:rPr>
              <w:t>FACT: </w:t>
            </w:r>
            <w:r>
              <w:rPr>
                <w:color w:val="1a1a1a"/>
                <w:sz w:val="20"/>
              </w:rPr>
              <w:t>You can try, but service is still valid if the server follows legal methods. Leaving papers with someone 15+ at your home counts. 12 O.S. §2004(C)(1)(c)(1)</w:t>
            </w:r>
          </w:p>
        </w:tc>
      </w:tr>
      <w:tr>
        <w:tc>
          <w:tcPr>
            <w:tcW w:w="800" w:type="dxa"/>
            <w:shd w:val="clear" w:fill="FFFFFF"/>
          </w:tcPr>
          <w:p>
            <w:pPr>
              <w:spacing w:before="60" w:after="60"/>
              <w:jc w:val="center"/>
            </w:pPr>
            <w:r>
              <w:rPr>
                <w:b/>
                <w:color w:val="d4a017"/>
                <w:sz w:val="20"/>
              </w:rPr>
              <w:t>3</w:t>
            </w:r>
          </w:p>
        </w:tc>
        <w:tc>
          <w:tcPr>
            <w:tcW w:w="4200" w:type="dxa"/>
            <w:shd w:val="clear" w:fill="FFFFFF"/>
          </w:tcPr>
          <w:p>
            <w:pPr>
              <w:spacing w:before="60" w:after="60"/>
            </w:pPr>
            <w:r>
              <w:rPr>
                <w:b/>
                <w:color w:val="8b2500"/>
                <w:sz w:val="20"/>
              </w:rPr>
              <w:t>MYTH: </w:t>
            </w:r>
            <w:r>
              <w:rPr>
                <w:color w:val="1a1a1a"/>
                <w:sz w:val="20"/>
              </w:rPr>
              <w:t>If you do not touch the papers, service does not count.</w:t>
            </w:r>
          </w:p>
        </w:tc>
        <w:tc>
          <w:tcPr>
            <w:tcW w:w="5000" w:type="dxa"/>
            <w:shd w:val="clear" w:fill="FFFFFF"/>
          </w:tcPr>
          <w:p>
            <w:pPr>
              <w:spacing w:before="60" w:after="60"/>
            </w:pPr>
            <w:r>
              <w:rPr>
                <w:b/>
                <w:color w:val="2e5a2e"/>
                <w:sz w:val="20"/>
              </w:rPr>
              <w:t>FACT: </w:t>
            </w:r>
            <w:r>
              <w:rPr>
                <w:color w:val="1a1a1a"/>
                <w:sz w:val="20"/>
              </w:rPr>
              <w:t>False. A process server does not need you to physically take the papers. Personal delivery or substituted service at your home is valid. 12 O.S. §2004(C)(1)</w:t>
            </w:r>
          </w:p>
        </w:tc>
      </w:tr>
      <w:tr>
        <w:tc>
          <w:tcPr>
            <w:tcW w:w="800" w:type="dxa"/>
            <w:shd w:val="clear" w:fill="f9f9f9"/>
          </w:tcPr>
          <w:p>
            <w:pPr>
              <w:spacing w:before="60" w:after="60"/>
              <w:jc w:val="center"/>
            </w:pPr>
            <w:r>
              <w:rPr>
                <w:b/>
                <w:color w:val="d4a017"/>
                <w:sz w:val="20"/>
              </w:rPr>
              <w:t>4</w:t>
            </w:r>
          </w:p>
        </w:tc>
        <w:tc>
          <w:tcPr>
            <w:tcW w:w="4200" w:type="dxa"/>
            <w:shd w:val="clear" w:fill="f9f9f9"/>
          </w:tcPr>
          <w:p>
            <w:pPr>
              <w:spacing w:before="60" w:after="60"/>
            </w:pPr>
            <w:r>
              <w:rPr>
                <w:b/>
                <w:color w:val="8b2500"/>
                <w:sz w:val="20"/>
              </w:rPr>
              <w:t>MYTH: </w:t>
            </w:r>
            <w:r>
              <w:rPr>
                <w:color w:val="1a1a1a"/>
                <w:sz w:val="20"/>
              </w:rPr>
              <w:t>Process servers can enter your home.</w:t>
            </w:r>
          </w:p>
        </w:tc>
        <w:tc>
          <w:tcPr>
            <w:tcW w:w="5000" w:type="dxa"/>
            <w:shd w:val="clear" w:fill="f9f9f9"/>
          </w:tcPr>
          <w:p>
            <w:pPr>
              <w:spacing w:before="60" w:after="60"/>
            </w:pPr>
            <w:r>
              <w:rPr>
                <w:b/>
                <w:color w:val="2e5a2e"/>
                <w:sz w:val="20"/>
              </w:rPr>
              <w:t>FACT: </w:t>
            </w:r>
            <w:r>
              <w:rPr>
                <w:color w:val="1a1a1a"/>
                <w:sz w:val="20"/>
              </w:rPr>
              <w:t>No. Process servers cannot enter your home without permission. They must serve you at the door or in a public place.</w:t>
            </w:r>
          </w:p>
        </w:tc>
      </w:tr>
      <w:tr>
        <w:tc>
          <w:tcPr>
            <w:tcW w:w="800" w:type="dxa"/>
            <w:shd w:val="clear" w:fill="FFFFFF"/>
          </w:tcPr>
          <w:p>
            <w:pPr>
              <w:spacing w:before="60" w:after="60"/>
              <w:jc w:val="center"/>
            </w:pPr>
            <w:r>
              <w:rPr>
                <w:b/>
                <w:color w:val="d4a017"/>
                <w:sz w:val="20"/>
              </w:rPr>
              <w:t>5</w:t>
            </w:r>
          </w:p>
        </w:tc>
        <w:tc>
          <w:tcPr>
            <w:tcW w:w="4200" w:type="dxa"/>
            <w:shd w:val="clear" w:fill="FFFFFF"/>
          </w:tcPr>
          <w:p>
            <w:pPr>
              <w:spacing w:before="60" w:after="60"/>
            </w:pPr>
            <w:r>
              <w:rPr>
                <w:b/>
                <w:color w:val="8b2500"/>
                <w:sz w:val="20"/>
              </w:rPr>
              <w:t>MYTH: </w:t>
            </w:r>
            <w:r>
              <w:rPr>
                <w:color w:val="1a1a1a"/>
                <w:sz w:val="20"/>
              </w:rPr>
              <w:t>Process servers work only at night and on weekends.</w:t>
            </w:r>
          </w:p>
        </w:tc>
        <w:tc>
          <w:tcPr>
            <w:tcW w:w="5000" w:type="dxa"/>
            <w:shd w:val="clear" w:fill="FFFFFF"/>
          </w:tcPr>
          <w:p>
            <w:pPr>
              <w:spacing w:before="60" w:after="60"/>
            </w:pPr>
            <w:r>
              <w:rPr>
                <w:b/>
                <w:color w:val="2e5a2e"/>
                <w:sz w:val="20"/>
              </w:rPr>
              <w:t>FACT: </w:t>
            </w:r>
            <w:r>
              <w:rPr>
                <w:color w:val="1a1a1a"/>
                <w:sz w:val="20"/>
              </w:rPr>
              <w:t>Most service happens during normal business hours. While some attempts occur in evenings, there are no set hours required by law.</w:t>
            </w:r>
          </w:p>
        </w:tc>
      </w:tr>
      <w:tr>
        <w:tc>
          <w:tcPr>
            <w:tcW w:w="800" w:type="dxa"/>
            <w:shd w:val="clear" w:fill="f9f9f9"/>
          </w:tcPr>
          <w:p>
            <w:pPr>
              <w:spacing w:before="60" w:after="60"/>
              <w:jc w:val="center"/>
            </w:pPr>
            <w:r>
              <w:rPr>
                <w:b/>
                <w:color w:val="d4a017"/>
                <w:sz w:val="20"/>
              </w:rPr>
              <w:t>6</w:t>
            </w:r>
          </w:p>
        </w:tc>
        <w:tc>
          <w:tcPr>
            <w:tcW w:w="4200" w:type="dxa"/>
            <w:shd w:val="clear" w:fill="f9f9f9"/>
          </w:tcPr>
          <w:p>
            <w:pPr>
              <w:spacing w:before="60" w:after="60"/>
            </w:pPr>
            <w:r>
              <w:rPr>
                <w:b/>
                <w:color w:val="8b2500"/>
                <w:sz w:val="20"/>
              </w:rPr>
              <w:t>MYTH: </w:t>
            </w:r>
            <w:r>
              <w:rPr>
                <w:color w:val="1a1a1a"/>
                <w:sz w:val="20"/>
              </w:rPr>
              <w:t>You can hide to avoid being served.</w:t>
            </w:r>
          </w:p>
        </w:tc>
        <w:tc>
          <w:tcPr>
            <w:tcW w:w="5000" w:type="dxa"/>
            <w:shd w:val="clear" w:fill="f9f9f9"/>
          </w:tcPr>
          <w:p>
            <w:pPr>
              <w:spacing w:before="60" w:after="60"/>
            </w:pPr>
            <w:r>
              <w:rPr>
                <w:b/>
                <w:color w:val="2e5a2e"/>
                <w:sz w:val="20"/>
              </w:rPr>
              <w:t>FACT: </w:t>
            </w:r>
            <w:r>
              <w:rPr>
                <w:color w:val="1a1a1a"/>
                <w:sz w:val="20"/>
              </w:rPr>
              <w:t>Hiding only delays the case. If you cannot be found, the plaintiff can use service by publication or other court-approved methods. 12 O.S. §2004(C)(3)</w:t>
            </w:r>
          </w:p>
        </w:tc>
      </w:tr>
      <w:tr>
        <w:tc>
          <w:tcPr>
            <w:tcW w:w="800" w:type="dxa"/>
            <w:shd w:val="clear" w:fill="FFFFFF"/>
          </w:tcPr>
          <w:p>
            <w:pPr>
              <w:spacing w:before="60" w:after="60"/>
              <w:jc w:val="center"/>
            </w:pPr>
            <w:r>
              <w:rPr>
                <w:b/>
                <w:color w:val="d4a017"/>
                <w:sz w:val="20"/>
              </w:rPr>
              <w:t>7</w:t>
            </w:r>
          </w:p>
        </w:tc>
        <w:tc>
          <w:tcPr>
            <w:tcW w:w="4200" w:type="dxa"/>
            <w:shd w:val="clear" w:fill="FFFFFF"/>
          </w:tcPr>
          <w:p>
            <w:pPr>
              <w:spacing w:before="60" w:after="60"/>
            </w:pPr>
            <w:r>
              <w:rPr>
                <w:b/>
                <w:color w:val="8b2500"/>
                <w:sz w:val="20"/>
              </w:rPr>
              <w:t>MYTH: </w:t>
            </w:r>
            <w:r>
              <w:rPr>
                <w:color w:val="1a1a1a"/>
                <w:sz w:val="20"/>
              </w:rPr>
              <w:t>Process servers only serve divorce papers.</w:t>
            </w:r>
          </w:p>
        </w:tc>
        <w:tc>
          <w:tcPr>
            <w:tcW w:w="5000" w:type="dxa"/>
            <w:shd w:val="clear" w:fill="FFFFFF"/>
          </w:tcPr>
          <w:p>
            <w:pPr>
              <w:spacing w:before="60" w:after="60"/>
            </w:pPr>
            <w:r>
              <w:rPr>
                <w:b/>
                <w:color w:val="2e5a2e"/>
                <w:sz w:val="20"/>
              </w:rPr>
              <w:t>FACT: </w:t>
            </w:r>
            <w:r>
              <w:rPr>
                <w:color w:val="1a1a1a"/>
                <w:sz w:val="20"/>
              </w:rPr>
              <w:t>Process servers handle all types of civil cases. This includes small claims, evictions, subpoenas, business disputes, and more. 12 O.S. §2004</w:t>
            </w:r>
          </w:p>
        </w:tc>
      </w:tr>
      <w:tr>
        <w:tc>
          <w:tcPr>
            <w:tcW w:w="800" w:type="dxa"/>
            <w:shd w:val="clear" w:fill="f9f9f9"/>
          </w:tcPr>
          <w:p>
            <w:pPr>
              <w:spacing w:before="60" w:after="60"/>
              <w:jc w:val="center"/>
            </w:pPr>
            <w:r>
              <w:rPr>
                <w:b/>
                <w:color w:val="d4a017"/>
                <w:sz w:val="20"/>
              </w:rPr>
              <w:t>8</w:t>
            </w:r>
          </w:p>
        </w:tc>
        <w:tc>
          <w:tcPr>
            <w:tcW w:w="4200" w:type="dxa"/>
            <w:shd w:val="clear" w:fill="f9f9f9"/>
          </w:tcPr>
          <w:p>
            <w:pPr>
              <w:spacing w:before="60" w:after="60"/>
            </w:pPr>
            <w:r>
              <w:rPr>
                <w:b/>
                <w:color w:val="8b2500"/>
                <w:sz w:val="20"/>
              </w:rPr>
              <w:t>MYTH: </w:t>
            </w:r>
            <w:r>
              <w:rPr>
                <w:color w:val="1a1a1a"/>
                <w:sz w:val="20"/>
              </w:rPr>
              <w:t>Certified mail service is not real service.</w:t>
            </w:r>
          </w:p>
        </w:tc>
        <w:tc>
          <w:tcPr>
            <w:tcW w:w="5000" w:type="dxa"/>
            <w:shd w:val="clear" w:fill="f9f9f9"/>
          </w:tcPr>
          <w:p>
            <w:pPr>
              <w:spacing w:before="60" w:after="60"/>
            </w:pPr>
            <w:r>
              <w:rPr>
                <w:b/>
                <w:color w:val="2e5a2e"/>
                <w:sz w:val="20"/>
              </w:rPr>
              <w:t>FACT: </w:t>
            </w:r>
            <w:r>
              <w:rPr>
                <w:color w:val="1a1a1a"/>
                <w:sz w:val="20"/>
              </w:rPr>
              <w:t>Certified mail with return receipt requested is a valid method of service under Oklahoma law. 12 O.S. §2004(C)(2)</w:t>
            </w:r>
          </w:p>
        </w:tc>
      </w:tr>
      <w:tr>
        <w:tc>
          <w:tcPr>
            <w:tcW w:w="800" w:type="dxa"/>
            <w:shd w:val="clear" w:fill="FFFFFF"/>
          </w:tcPr>
          <w:p>
            <w:pPr>
              <w:spacing w:before="60" w:after="60"/>
              <w:jc w:val="center"/>
            </w:pPr>
            <w:r>
              <w:rPr>
                <w:b/>
                <w:color w:val="d4a017"/>
                <w:sz w:val="20"/>
              </w:rPr>
              <w:t>9</w:t>
            </w:r>
          </w:p>
        </w:tc>
        <w:tc>
          <w:tcPr>
            <w:tcW w:w="4200" w:type="dxa"/>
            <w:shd w:val="clear" w:fill="FFFFFF"/>
          </w:tcPr>
          <w:p>
            <w:pPr>
              <w:spacing w:before="60" w:after="60"/>
            </w:pPr>
            <w:r>
              <w:rPr>
                <w:b/>
                <w:color w:val="8b2500"/>
                <w:sz w:val="20"/>
              </w:rPr>
              <w:t>MYTH: </w:t>
            </w:r>
            <w:r>
              <w:rPr>
                <w:color w:val="1a1a1a"/>
                <w:sz w:val="20"/>
              </w:rPr>
              <w:t>A process server can arrest you.</w:t>
            </w:r>
          </w:p>
        </w:tc>
        <w:tc>
          <w:tcPr>
            <w:tcW w:w="5000" w:type="dxa"/>
            <w:shd w:val="clear" w:fill="FFFFFF"/>
          </w:tcPr>
          <w:p>
            <w:pPr>
              <w:spacing w:before="60" w:after="60"/>
            </w:pPr>
            <w:r>
              <w:rPr>
                <w:b/>
                <w:color w:val="2e5a2e"/>
                <w:sz w:val="20"/>
              </w:rPr>
              <w:t>FACT: </w:t>
            </w:r>
            <w:r>
              <w:rPr>
                <w:color w:val="1a1a1a"/>
                <w:sz w:val="20"/>
              </w:rPr>
              <w:t>No. Process servers have no arrest powers. They are not law enforcement officers. Their only job is to deliver court papers.</w:t>
            </w:r>
          </w:p>
        </w:tc>
      </w:tr>
      <w:tr>
        <w:tc>
          <w:tcPr>
            <w:tcW w:w="800" w:type="dxa"/>
            <w:shd w:val="clear" w:fill="f9f9f9"/>
          </w:tcPr>
          <w:p>
            <w:pPr>
              <w:spacing w:before="60" w:after="60"/>
              <w:jc w:val="center"/>
            </w:pPr>
            <w:r>
              <w:rPr>
                <w:b/>
                <w:color w:val="d4a017"/>
                <w:sz w:val="20"/>
              </w:rPr>
              <w:t>10</w:t>
            </w:r>
          </w:p>
        </w:tc>
        <w:tc>
          <w:tcPr>
            <w:tcW w:w="4200" w:type="dxa"/>
            <w:shd w:val="clear" w:fill="f9f9f9"/>
          </w:tcPr>
          <w:p>
            <w:pPr>
              <w:spacing w:before="60" w:after="60"/>
            </w:pPr>
            <w:r>
              <w:rPr>
                <w:b/>
                <w:color w:val="8b2500"/>
                <w:sz w:val="20"/>
              </w:rPr>
              <w:t>MYTH: </w:t>
            </w:r>
            <w:r>
              <w:rPr>
                <w:color w:val="1a1a1a"/>
                <w:sz w:val="20"/>
              </w:rPr>
              <w:t>Service is only valid if you sign something.</w:t>
            </w:r>
          </w:p>
        </w:tc>
        <w:tc>
          <w:tcPr>
            <w:tcW w:w="5000" w:type="dxa"/>
            <w:shd w:val="clear" w:fill="f9f9f9"/>
          </w:tcPr>
          <w:p>
            <w:pPr>
              <w:spacing w:before="60" w:after="60"/>
            </w:pPr>
            <w:r>
              <w:rPr>
                <w:b/>
                <w:color w:val="2e5a2e"/>
                <w:sz w:val="20"/>
              </w:rPr>
              <w:t>FACT: </w:t>
            </w:r>
            <w:r>
              <w:rPr>
                <w:color w:val="1a1a1a"/>
                <w:sz w:val="20"/>
              </w:rPr>
              <w:t>You do not need to sign for service to be valid. The process server files an affidavit of service with the court. 12 O.S. §2004(G)(2)</w:t>
            </w:r>
          </w:p>
        </w:tc>
      </w:tr>
      <w:tr>
        <w:tc>
          <w:tcPr>
            <w:tcW w:w="800" w:type="dxa"/>
            <w:shd w:val="clear" w:fill="FFFFFF"/>
          </w:tcPr>
          <w:p>
            <w:pPr>
              <w:spacing w:before="60" w:after="60"/>
              <w:jc w:val="center"/>
            </w:pPr>
            <w:r>
              <w:rPr>
                <w:b/>
                <w:color w:val="d4a017"/>
                <w:sz w:val="20"/>
              </w:rPr>
              <w:t>11</w:t>
            </w:r>
          </w:p>
        </w:tc>
        <w:tc>
          <w:tcPr>
            <w:tcW w:w="4200" w:type="dxa"/>
            <w:shd w:val="clear" w:fill="FFFFFF"/>
          </w:tcPr>
          <w:p>
            <w:pPr>
              <w:spacing w:before="60" w:after="60"/>
            </w:pPr>
            <w:r>
              <w:rPr>
                <w:b/>
                <w:color w:val="8b2500"/>
                <w:sz w:val="20"/>
              </w:rPr>
              <w:t>MYTH: </w:t>
            </w:r>
            <w:r>
              <w:rPr>
                <w:color w:val="1a1a1a"/>
                <w:sz w:val="20"/>
              </w:rPr>
              <w:t>Process servers can use force.</w:t>
            </w:r>
          </w:p>
        </w:tc>
        <w:tc>
          <w:tcPr>
            <w:tcW w:w="5000" w:type="dxa"/>
            <w:shd w:val="clear" w:fill="FFFFFF"/>
          </w:tcPr>
          <w:p>
            <w:pPr>
              <w:spacing w:before="60" w:after="60"/>
            </w:pPr>
            <w:r>
              <w:rPr>
                <w:b/>
                <w:color w:val="2e5a2e"/>
                <w:sz w:val="20"/>
              </w:rPr>
              <w:t>FACT: </w:t>
            </w:r>
            <w:r>
              <w:rPr>
                <w:color w:val="1a1a1a"/>
                <w:sz w:val="20"/>
              </w:rPr>
              <w:t>No. Process servers must follow the law. They cannot use force, threats, or harassment. Tulsa County rules prohibit weapons unless the server has a concealed carry permit.</w:t>
            </w:r>
          </w:p>
        </w:tc>
      </w:tr>
      <w:tr>
        <w:tc>
          <w:tcPr>
            <w:tcW w:w="800" w:type="dxa"/>
            <w:shd w:val="clear" w:fill="f9f9f9"/>
          </w:tcPr>
          <w:p>
            <w:pPr>
              <w:spacing w:before="60" w:after="60"/>
              <w:jc w:val="center"/>
            </w:pPr>
            <w:r>
              <w:rPr>
                <w:b/>
                <w:color w:val="d4a017"/>
                <w:sz w:val="20"/>
              </w:rPr>
              <w:t>12</w:t>
            </w:r>
          </w:p>
        </w:tc>
        <w:tc>
          <w:tcPr>
            <w:tcW w:w="4200" w:type="dxa"/>
            <w:shd w:val="clear" w:fill="f9f9f9"/>
          </w:tcPr>
          <w:p>
            <w:pPr>
              <w:spacing w:before="60" w:after="60"/>
            </w:pPr>
            <w:r>
              <w:rPr>
                <w:b/>
                <w:color w:val="8b2500"/>
                <w:sz w:val="20"/>
              </w:rPr>
              <w:t>MYTH: </w:t>
            </w:r>
            <w:r>
              <w:rPr>
                <w:color w:val="1a1a1a"/>
                <w:sz w:val="20"/>
              </w:rPr>
              <w:t>If the papers have errors, service is invalid.</w:t>
            </w:r>
          </w:p>
        </w:tc>
        <w:tc>
          <w:tcPr>
            <w:tcW w:w="5000" w:type="dxa"/>
            <w:shd w:val="clear" w:fill="f9f9f9"/>
          </w:tcPr>
          <w:p>
            <w:pPr>
              <w:spacing w:before="60" w:after="60"/>
            </w:pPr>
            <w:r>
              <w:rPr>
                <w:b/>
                <w:color w:val="2e5a2e"/>
                <w:sz w:val="20"/>
              </w:rPr>
              <w:t>FACT: </w:t>
            </w:r>
            <w:r>
              <w:rPr>
                <w:color w:val="1a1a1a"/>
                <w:sz w:val="20"/>
              </w:rPr>
              <w:t>Minor errors usually do not invalidate service. The court can amend process unless material prejudice results. 12 O.S. §2004(H). Always verify errors with the court.</w:t>
            </w:r>
          </w:p>
        </w:tc>
      </w:tr>
      <w:tr>
        <w:tc>
          <w:tcPr>
            <w:tcW w:w="800" w:type="dxa"/>
            <w:shd w:val="clear" w:fill="FFFFFF"/>
          </w:tcPr>
          <w:p>
            <w:pPr>
              <w:spacing w:before="60" w:after="60"/>
              <w:jc w:val="center"/>
            </w:pPr>
            <w:r>
              <w:rPr>
                <w:b/>
                <w:color w:val="d4a017"/>
                <w:sz w:val="20"/>
              </w:rPr>
              <w:t>13</w:t>
            </w:r>
          </w:p>
        </w:tc>
        <w:tc>
          <w:tcPr>
            <w:tcW w:w="4200" w:type="dxa"/>
            <w:shd w:val="clear" w:fill="FFFFFF"/>
          </w:tcPr>
          <w:p>
            <w:pPr>
              <w:spacing w:before="60" w:after="60"/>
            </w:pPr>
            <w:r>
              <w:rPr>
                <w:b/>
                <w:color w:val="8b2500"/>
                <w:sz w:val="20"/>
              </w:rPr>
              <w:t>MYTH: </w:t>
            </w:r>
            <w:r>
              <w:rPr>
                <w:color w:val="1a1a1a"/>
                <w:sz w:val="20"/>
              </w:rPr>
              <w:t>You need a lawyer to respond to a lawsuit.</w:t>
            </w:r>
          </w:p>
        </w:tc>
        <w:tc>
          <w:tcPr>
            <w:tcW w:w="5000" w:type="dxa"/>
            <w:shd w:val="clear" w:fill="FFFFFF"/>
          </w:tcPr>
          <w:p>
            <w:pPr>
              <w:spacing w:before="60" w:after="60"/>
            </w:pPr>
            <w:r>
              <w:rPr>
                <w:b/>
                <w:color w:val="2e5a2e"/>
                <w:sz w:val="20"/>
              </w:rPr>
              <w:t>FACT: </w:t>
            </w:r>
            <w:r>
              <w:rPr>
                <w:color w:val="1a1a1a"/>
                <w:sz w:val="20"/>
              </w:rPr>
              <w:t>You can represent yourself in Oklahoma courts. However, a lawyer can help you understand your options. This is your personal choice.</w:t>
            </w:r>
          </w:p>
        </w:tc>
      </w:tr>
      <w:tr>
        <w:tc>
          <w:tcPr>
            <w:tcW w:w="800" w:type="dxa"/>
            <w:shd w:val="clear" w:fill="f9f9f9"/>
          </w:tcPr>
          <w:p>
            <w:pPr>
              <w:spacing w:before="60" w:after="60"/>
              <w:jc w:val="center"/>
            </w:pPr>
            <w:r>
              <w:rPr>
                <w:b/>
                <w:color w:val="d4a017"/>
                <w:sz w:val="20"/>
              </w:rPr>
              <w:t>14</w:t>
            </w:r>
          </w:p>
        </w:tc>
        <w:tc>
          <w:tcPr>
            <w:tcW w:w="4200" w:type="dxa"/>
            <w:shd w:val="clear" w:fill="f9f9f9"/>
          </w:tcPr>
          <w:p>
            <w:pPr>
              <w:spacing w:before="60" w:after="60"/>
            </w:pPr>
            <w:r>
              <w:rPr>
                <w:b/>
                <w:color w:val="8b2500"/>
                <w:sz w:val="20"/>
              </w:rPr>
              <w:t>MYTH: </w:t>
            </w:r>
            <w:r>
              <w:rPr>
                <w:color w:val="1a1a1a"/>
                <w:sz w:val="20"/>
              </w:rPr>
              <w:t>Process servers are bounty hunters.</w:t>
            </w:r>
          </w:p>
        </w:tc>
        <w:tc>
          <w:tcPr>
            <w:tcW w:w="5000" w:type="dxa"/>
            <w:shd w:val="clear" w:fill="f9f9f9"/>
          </w:tcPr>
          <w:p>
            <w:pPr>
              <w:spacing w:before="60" w:after="60"/>
            </w:pPr>
            <w:r>
              <w:rPr>
                <w:b/>
                <w:color w:val="2e5a2e"/>
                <w:sz w:val="20"/>
              </w:rPr>
              <w:t>FACT: </w:t>
            </w:r>
            <w:r>
              <w:rPr>
                <w:color w:val="1a1a1a"/>
                <w:sz w:val="20"/>
              </w:rPr>
              <w:t>No. Bounty hunters locate people who skipped bail. Process servers deliver court papers for civil cases. These are completely different jobs.</w:t>
            </w:r>
          </w:p>
        </w:tc>
      </w:tr>
      <w:tr>
        <w:tc>
          <w:tcPr>
            <w:tcW w:w="800" w:type="dxa"/>
            <w:shd w:val="clear" w:fill="FFFFFF"/>
          </w:tcPr>
          <w:p>
            <w:pPr>
              <w:spacing w:before="60" w:after="60"/>
              <w:jc w:val="center"/>
            </w:pPr>
            <w:r>
              <w:rPr>
                <w:b/>
                <w:color w:val="d4a017"/>
                <w:sz w:val="20"/>
              </w:rPr>
              <w:t>15</w:t>
            </w:r>
          </w:p>
        </w:tc>
        <w:tc>
          <w:tcPr>
            <w:tcW w:w="4200" w:type="dxa"/>
            <w:shd w:val="clear" w:fill="FFFFFF"/>
          </w:tcPr>
          <w:p>
            <w:pPr>
              <w:spacing w:before="60" w:after="60"/>
            </w:pPr>
            <w:r>
              <w:rPr>
                <w:b/>
                <w:color w:val="8b2500"/>
                <w:sz w:val="20"/>
              </w:rPr>
              <w:t>MYTH: </w:t>
            </w:r>
            <w:r>
              <w:rPr>
                <w:color w:val="1a1a1a"/>
                <w:sz w:val="20"/>
              </w:rPr>
              <w:t>Service always happens in person.</w:t>
            </w:r>
          </w:p>
        </w:tc>
        <w:tc>
          <w:tcPr>
            <w:tcW w:w="5000" w:type="dxa"/>
            <w:shd w:val="clear" w:fill="FFFFFF"/>
          </w:tcPr>
          <w:p>
            <w:pPr>
              <w:spacing w:before="60" w:after="60"/>
            </w:pPr>
            <w:r>
              <w:rPr>
                <w:b/>
                <w:color w:val="2e5a2e"/>
                <w:sz w:val="20"/>
              </w:rPr>
              <w:t>FACT: </w:t>
            </w:r>
            <w:r>
              <w:rPr>
                <w:color w:val="1a1a1a"/>
                <w:sz w:val="20"/>
              </w:rPr>
              <w:t>Service can be done by personal delivery, certified mail, publication, commercial courier, or other court-approved methods. 12 O.S. §2004(C)</w:t>
            </w:r>
          </w:p>
        </w:tc>
      </w:tr>
    </w:tbl>
    <w:p>
      <w:r>
        <w:t>Sources: 12 O.S. §2004; 12 O.S. §158.1; Oklahoma District Court Rules</w:t>
      </w:r>
    </w:p>
    <w:p>
      <w:pPr>
        <w:pStyle w:val="Heading1"/>
      </w:pPr>
      <w:r>
        <w:t>How Service Actually Works</w:t>
      </w:r>
      <w:bookmarkStart w:name="_Toc003" w:id="4"/>
      <w:bookmarkEnd w:id="4"/>
    </w:p>
    <w:p>
      <w:r>
        <w:t>Under Oklahoma law (12 O.S. §2004), there are several legal ways to serve court papers. Here is the step-by-step flow:</w:t>
      </w:r>
    </w:p>
    <w:tbl>
      <w:tblPr>
        <w:tblW w:w="5000" w:type="pct"/>
        <w:tblBorders>
          <w:top w:val="single" w:color="1a2744" w:sz="8"/>
          <w:left w:val="nil"/>
          <w:bottom w:val="single" w:color="1a2744" w:sz="8"/>
          <w:right w:val="nil"/>
          <w:insideH w:val="single" w:color="d4cfc2" w:sz="4"/>
        </w:tblBorders>
      </w:tblPr>
      <w:tblGrid>
        <w:gridCol w:w="1200"/>
        <w:gridCol w:w="3000"/>
        <w:gridCol w:w="5800"/>
      </w:tblGrid>
      <w:tr>
        <w:trPr>
          <w:tblHeader/>
        </w:trPr>
        <w:tc>
          <w:tcPr>
            <w:tcW w:w="1200" w:type="dxa"/>
            <w:shd w:val="clear" w:fill="1a2744"/>
          </w:tcPr>
          <w:p>
            <w:pPr>
              <w:spacing w:before="60" w:after="60"/>
            </w:pPr>
            <w:r>
              <w:rPr>
                <w:b/>
                <w:color w:val="FFFFFF"/>
                <w:sz w:val="20"/>
              </w:rPr>
              <w:t>Step</w:t>
            </w:r>
          </w:p>
        </w:tc>
        <w:tc>
          <w:tcPr>
            <w:tcW w:w="3000" w:type="dxa"/>
            <w:shd w:val="clear" w:fill="1a2744"/>
          </w:tcPr>
          <w:p>
            <w:pPr>
              <w:spacing w:before="60" w:after="60"/>
            </w:pPr>
            <w:r>
              <w:rPr>
                <w:b/>
                <w:color w:val="FFFFFF"/>
                <w:sz w:val="20"/>
              </w:rPr>
              <w:t>Method</w:t>
            </w:r>
          </w:p>
        </w:tc>
        <w:tc>
          <w:tcPr>
            <w:tcW w:w="5800" w:type="dxa"/>
            <w:shd w:val="clear" w:fill="1a2744"/>
          </w:tcPr>
          <w:p>
            <w:pPr>
              <w:spacing w:before="60" w:after="60"/>
            </w:pPr>
            <w:r>
              <w:rPr>
                <w:b/>
                <w:color w:val="FFFFFF"/>
                <w:sz w:val="20"/>
              </w:rPr>
              <w:t>How It Works</w:t>
            </w:r>
          </w:p>
        </w:tc>
      </w:tr>
      <w:tr>
        <w:tc>
          <w:tcPr>
            <w:tcW w:w="1200" w:type="dxa"/>
            <w:shd w:val="clear" w:fill="FFFFFF"/>
          </w:tcPr>
          <w:p>
            <w:pPr>
              <w:spacing w:before="60" w:after="60"/>
              <w:jc w:val="center"/>
            </w:pPr>
            <w:r>
              <w:rPr>
                <w:b/>
                <w:color w:val="d4a017"/>
                <w:sz w:val="20"/>
              </w:rPr>
              <w:t>1</w:t>
            </w:r>
          </w:p>
        </w:tc>
        <w:tc>
          <w:tcPr>
            <w:tcW w:w="3000" w:type="dxa"/>
            <w:shd w:val="clear" w:fill="FFFFFF"/>
          </w:tcPr>
          <w:p>
            <w:pPr>
              <w:spacing w:before="60" w:after="60"/>
            </w:pPr>
            <w:r>
              <w:rPr>
                <w:b/>
                <w:color w:val="1a2744"/>
                <w:sz w:val="20"/>
              </w:rPr>
              <w:t>Filing</w:t>
            </w:r>
          </w:p>
        </w:tc>
        <w:tc>
          <w:tcPr>
            <w:tcW w:w="5800" w:type="dxa"/>
            <w:shd w:val="clear" w:fill="FFFFFF"/>
          </w:tcPr>
          <w:p>
            <w:pPr>
              <w:spacing w:before="60" w:after="60"/>
            </w:pPr>
            <w:r>
              <w:rPr>
                <w:color w:val="1a1a1a"/>
                <w:sz w:val="20"/>
              </w:rPr>
              <w:t>Plaintiff files case with court clerk. Clerk issues a summons. 12 O.S. §2004(A)</w:t>
            </w:r>
          </w:p>
        </w:tc>
      </w:tr>
      <w:tr>
        <w:tc>
          <w:tcPr>
            <w:tcW w:w="1200" w:type="dxa"/>
            <w:shd w:val="clear" w:fill="f9f9f9"/>
          </w:tcPr>
          <w:p>
            <w:pPr>
              <w:spacing w:before="60" w:after="60"/>
              <w:jc w:val="center"/>
            </w:pPr>
            <w:r>
              <w:rPr>
                <w:b/>
                <w:color w:val="d4a017"/>
                <w:sz w:val="20"/>
              </w:rPr>
              <w:t>2</w:t>
            </w:r>
          </w:p>
        </w:tc>
        <w:tc>
          <w:tcPr>
            <w:tcW w:w="3000" w:type="dxa"/>
            <w:shd w:val="clear" w:fill="f9f9f9"/>
          </w:tcPr>
          <w:p>
            <w:pPr>
              <w:spacing w:before="60" w:after="60"/>
            </w:pPr>
            <w:r>
              <w:rPr>
                <w:b/>
                <w:color w:val="1a2744"/>
                <w:sz w:val="20"/>
              </w:rPr>
              <w:t>Personal Delivery</w:t>
            </w:r>
          </w:p>
        </w:tc>
        <w:tc>
          <w:tcPr>
            <w:tcW w:w="5800" w:type="dxa"/>
            <w:shd w:val="clear" w:fill="f9f9f9"/>
          </w:tcPr>
          <w:p>
            <w:pPr>
              <w:spacing w:before="60" w:after="60"/>
            </w:pPr>
            <w:r>
              <w:rPr>
                <w:color w:val="1a1a1a"/>
                <w:sz w:val="20"/>
              </w:rPr>
              <w:t>Server hands papers directly to you, or leaves them with someone 15+ at your home. 12 O.S. §2004(C)(1)</w:t>
            </w:r>
          </w:p>
        </w:tc>
      </w:tr>
      <w:tr>
        <w:tc>
          <w:tcPr>
            <w:tcW w:w="1200" w:type="dxa"/>
            <w:shd w:val="clear" w:fill="FFFFFF"/>
          </w:tcPr>
          <w:p>
            <w:pPr>
              <w:spacing w:before="60" w:after="60"/>
              <w:jc w:val="center"/>
            </w:pPr>
            <w:r>
              <w:rPr>
                <w:b/>
                <w:color w:val="d4a017"/>
                <w:sz w:val="20"/>
              </w:rPr>
              <w:t>3</w:t>
            </w:r>
          </w:p>
        </w:tc>
        <w:tc>
          <w:tcPr>
            <w:tcW w:w="3000" w:type="dxa"/>
            <w:shd w:val="clear" w:fill="FFFFFF"/>
          </w:tcPr>
          <w:p>
            <w:pPr>
              <w:spacing w:before="60" w:after="60"/>
            </w:pPr>
            <w:r>
              <w:rPr>
                <w:b/>
                <w:color w:val="1a2744"/>
                <w:sz w:val="20"/>
              </w:rPr>
              <w:t>Certified Mail</w:t>
            </w:r>
          </w:p>
        </w:tc>
        <w:tc>
          <w:tcPr>
            <w:tcW w:w="5800" w:type="dxa"/>
            <w:shd w:val="clear" w:fill="FFFFFF"/>
          </w:tcPr>
          <w:p>
            <w:pPr>
              <w:spacing w:before="60" w:after="60"/>
            </w:pPr>
            <w:r>
              <w:rPr>
                <w:color w:val="1a1a1a"/>
                <w:sz w:val="20"/>
              </w:rPr>
              <w:t>Papers sent by certified mail, return receipt requested. Service is complete on the date you receive or refuse it. 12 O.S. §2004(C)(2)</w:t>
            </w:r>
          </w:p>
        </w:tc>
      </w:tr>
      <w:tr>
        <w:tc>
          <w:tcPr>
            <w:tcW w:w="1200" w:type="dxa"/>
            <w:shd w:val="clear" w:fill="f9f9f9"/>
          </w:tcPr>
          <w:p>
            <w:pPr>
              <w:spacing w:before="60" w:after="60"/>
              <w:jc w:val="center"/>
            </w:pPr>
            <w:r>
              <w:rPr>
                <w:b/>
                <w:color w:val="d4a017"/>
                <w:sz w:val="20"/>
              </w:rPr>
              <w:t>4</w:t>
            </w:r>
          </w:p>
        </w:tc>
        <w:tc>
          <w:tcPr>
            <w:tcW w:w="3000" w:type="dxa"/>
            <w:shd w:val="clear" w:fill="f9f9f9"/>
          </w:tcPr>
          <w:p>
            <w:pPr>
              <w:spacing w:before="60" w:after="60"/>
            </w:pPr>
            <w:r>
              <w:rPr>
                <w:b/>
                <w:color w:val="1a2744"/>
                <w:sz w:val="20"/>
              </w:rPr>
              <w:t>Commercial Courier</w:t>
            </w:r>
          </w:p>
        </w:tc>
        <w:tc>
          <w:tcPr>
            <w:tcW w:w="5800" w:type="dxa"/>
            <w:shd w:val="clear" w:fill="f9f9f9"/>
          </w:tcPr>
          <w:p>
            <w:pPr>
              <w:spacing w:before="60" w:after="60"/>
            </w:pPr>
            <w:r>
              <w:rPr>
                <w:color w:val="1a1a1a"/>
                <w:sz w:val="20"/>
              </w:rPr>
              <w:t>Delivery by overnight or commercial courier with signed receipt. 12 O.S. §2004.3</w:t>
            </w:r>
          </w:p>
        </w:tc>
      </w:tr>
      <w:tr>
        <w:tc>
          <w:tcPr>
            <w:tcW w:w="1200" w:type="dxa"/>
            <w:shd w:val="clear" w:fill="FFFFFF"/>
          </w:tcPr>
          <w:p>
            <w:pPr>
              <w:spacing w:before="60" w:after="60"/>
              <w:jc w:val="center"/>
            </w:pPr>
            <w:r>
              <w:rPr>
                <w:b/>
                <w:color w:val="d4a017"/>
                <w:sz w:val="20"/>
              </w:rPr>
              <w:t>5</w:t>
            </w:r>
          </w:p>
        </w:tc>
        <w:tc>
          <w:tcPr>
            <w:tcW w:w="3000" w:type="dxa"/>
            <w:shd w:val="clear" w:fill="FFFFFF"/>
          </w:tcPr>
          <w:p>
            <w:pPr>
              <w:spacing w:before="60" w:after="60"/>
            </w:pPr>
            <w:r>
              <w:rPr>
                <w:b/>
                <w:color w:val="1a2744"/>
                <w:sz w:val="20"/>
              </w:rPr>
              <w:t>Publication</w:t>
            </w:r>
          </w:p>
        </w:tc>
        <w:tc>
          <w:tcPr>
            <w:tcW w:w="5800" w:type="dxa"/>
            <w:shd w:val="clear" w:fill="FFFFFF"/>
          </w:tcPr>
          <w:p>
            <w:pPr>
              <w:spacing w:before="60" w:after="60"/>
            </w:pPr>
            <w:r>
              <w:rPr>
                <w:color w:val="1a1a1a"/>
                <w:sz w:val="20"/>
              </w:rPr>
              <w:t>If other methods fail after due diligence, notice published in a newspaper once a week for three weeks. 12 O.S. §2004(C)(3)</w:t>
            </w:r>
          </w:p>
        </w:tc>
      </w:tr>
      <w:tr>
        <w:tc>
          <w:tcPr>
            <w:tcW w:w="1200" w:type="dxa"/>
            <w:shd w:val="clear" w:fill="f9f9f9"/>
          </w:tcPr>
          <w:p>
            <w:pPr>
              <w:spacing w:before="60" w:after="60"/>
              <w:jc w:val="center"/>
            </w:pPr>
            <w:r>
              <w:rPr>
                <w:b/>
                <w:color w:val="d4a017"/>
                <w:sz w:val="20"/>
              </w:rPr>
              <w:t>6</w:t>
            </w:r>
          </w:p>
        </w:tc>
        <w:tc>
          <w:tcPr>
            <w:tcW w:w="3000" w:type="dxa"/>
            <w:shd w:val="clear" w:fill="f9f9f9"/>
          </w:tcPr>
          <w:p>
            <w:pPr>
              <w:spacing w:before="60" w:after="60"/>
            </w:pPr>
            <w:r>
              <w:rPr>
                <w:b/>
                <w:color w:val="1a2744"/>
                <w:sz w:val="20"/>
              </w:rPr>
              <w:t>Court Order</w:t>
            </w:r>
          </w:p>
        </w:tc>
        <w:tc>
          <w:tcPr>
            <w:tcW w:w="5800" w:type="dxa"/>
            <w:shd w:val="clear" w:fill="f9f9f9"/>
          </w:tcPr>
          <w:p>
            <w:pPr>
              <w:spacing w:before="60" w:after="60"/>
            </w:pPr>
            <w:r>
              <w:rPr>
                <w:color w:val="1a1a1a"/>
                <w:sz w:val="20"/>
              </w:rPr>
              <w:t>The court may approve alternative methods when standard methods do not work. 12 O.S. §2004(C)(6)</w:t>
            </w:r>
          </w:p>
        </w:tc>
      </w:tr>
      <w:tr>
        <w:tc>
          <w:tcPr>
            <w:tcW w:w="1200" w:type="dxa"/>
            <w:shd w:val="clear" w:fill="FFFFFF"/>
          </w:tcPr>
          <w:p>
            <w:pPr>
              <w:spacing w:before="60" w:after="60"/>
              <w:jc w:val="center"/>
            </w:pPr>
            <w:r>
              <w:rPr>
                <w:b/>
                <w:color w:val="d4a017"/>
                <w:sz w:val="20"/>
              </w:rPr>
              <w:t>7</w:t>
            </w:r>
          </w:p>
        </w:tc>
        <w:tc>
          <w:tcPr>
            <w:tcW w:w="3000" w:type="dxa"/>
            <w:shd w:val="clear" w:fill="FFFFFF"/>
          </w:tcPr>
          <w:p>
            <w:pPr>
              <w:spacing w:before="60" w:after="60"/>
            </w:pPr>
            <w:r>
              <w:rPr>
                <w:b/>
                <w:color w:val="1a2744"/>
                <w:sz w:val="20"/>
              </w:rPr>
              <w:t>Proof Filed</w:t>
            </w:r>
          </w:p>
        </w:tc>
        <w:tc>
          <w:tcPr>
            <w:tcW w:w="5800" w:type="dxa"/>
            <w:shd w:val="clear" w:fill="FFFFFF"/>
          </w:tcPr>
          <w:p>
            <w:pPr>
              <w:spacing w:before="60" w:after="60"/>
            </w:pPr>
            <w:r>
              <w:rPr>
                <w:color w:val="1a1a1a"/>
                <w:sz w:val="20"/>
              </w:rPr>
              <w:t>Server files an affidavit of service with the court showing date, place, and method. 12 O.S. §2004(G)(2)</w:t>
            </w:r>
          </w:p>
        </w:tc>
      </w:tr>
    </w:tbl>
    <w:p>
      <w:pPr>
        <w:pStyle w:val="Heading1"/>
      </w:pPr>
      <w:r>
        <w:t>Your Rights When Being Served</w:t>
      </w:r>
      <w:bookmarkStart w:name="_Toc004" w:id="5"/>
      <w:bookmarkEnd w:id="5"/>
    </w:p>
    <w:p>
      <w:r>
        <w:t>You have clear rights when a process server approaches you. Use this checklist:</w:t>
      </w:r>
    </w:p>
    <w:tbl>
      <w:tblPr>
        <w:tblW w:w="5000" w:type="pct"/>
        <w:tblBorders>
          <w:top w:val="single" w:color="1a2744" w:sz="8"/>
          <w:left w:val="nil"/>
          <w:bottom w:val="single" w:color="1a2744" w:sz="8"/>
          <w:right w:val="nil"/>
          <w:insideH w:val="single" w:color="d4cfc2" w:sz="4"/>
        </w:tblBorders>
      </w:tblPr>
      <w:tblGrid>
        <w:gridCol w:w="700"/>
        <w:gridCol w:w="9300"/>
      </w:tblGrid>
      <w:tr>
        <w:trPr>
          <w:tblHeader/>
        </w:trPr>
        <w:tc>
          <w:tcPr>
            <w:tcW w:w="700" w:type="dxa"/>
            <w:shd w:val="clear" w:fill="1a2744"/>
          </w:tcPr>
          <w:p>
            <w:pPr>
              <w:spacing w:before="60" w:after="60"/>
              <w:jc w:val="center"/>
            </w:pPr>
            <w:r>
              <w:rPr>
                <w:b/>
                <w:color w:val="FFFFFF"/>
                <w:sz w:val="20"/>
              </w:rPr>
              <w:t>☐</w:t>
            </w:r>
          </w:p>
        </w:tc>
        <w:tc>
          <w:tcPr>
            <w:tcW w:w="9300" w:type="dxa"/>
            <w:shd w:val="clear" w:fill="1a2744"/>
          </w:tcPr>
          <w:p>
            <w:pPr>
              <w:spacing w:before="60" w:after="60"/>
            </w:pPr>
            <w:r>
              <w:rPr>
                <w:b/>
                <w:color w:val="FFFFFF"/>
                <w:sz w:val="20"/>
              </w:rPr>
              <w:t>Your Rights</w:t>
            </w:r>
          </w:p>
        </w:tc>
      </w:tr>
      <w:tr>
        <w:tc>
          <w:tcPr>
            <w:tcW w:w="700" w:type="dxa"/>
          </w:tcPr>
          <w:p>
            <w:pPr>
              <w:spacing w:before="60" w:after="60"/>
              <w:jc w:val="center"/>
            </w:pPr>
            <w:r>
              <w:rPr>
                <w:color w:val="d4a017"/>
                <w:sz w:val="22"/>
              </w:rPr>
              <w:t>☐</w:t>
            </w:r>
          </w:p>
        </w:tc>
        <w:tc>
          <w:tcPr>
            <w:tcW w:w="9300" w:type="dxa"/>
          </w:tcPr>
          <w:p>
            <w:pPr>
              <w:spacing w:before="60" w:after="60"/>
            </w:pPr>
            <w:r>
              <w:rPr>
                <w:color w:val="1a1a1a"/>
                <w:sz w:val="20"/>
              </w:rPr>
              <w:t>You have the right to remain calm. Process servers are simply doing their job.</w:t>
            </w:r>
          </w:p>
        </w:tc>
      </w:tr>
      <w:tr>
        <w:tc>
          <w:tcPr>
            <w:tcW w:w="700" w:type="dxa"/>
          </w:tcPr>
          <w:p>
            <w:pPr>
              <w:spacing w:before="60" w:after="60"/>
              <w:jc w:val="center"/>
            </w:pPr>
            <w:r>
              <w:rPr>
                <w:color w:val="d4a017"/>
                <w:sz w:val="22"/>
              </w:rPr>
              <w:t>☐</w:t>
            </w:r>
          </w:p>
        </w:tc>
        <w:tc>
          <w:tcPr>
            <w:tcW w:w="9300" w:type="dxa"/>
          </w:tcPr>
          <w:p>
            <w:pPr>
              <w:spacing w:before="60" w:after="60"/>
            </w:pPr>
            <w:r>
              <w:rPr>
                <w:color w:val="1a1a1a"/>
                <w:sz w:val="20"/>
              </w:rPr>
              <w:t>You have the right to ask to see the process server's license. Tulsa County rules require servers to show their license and identify themselves.</w:t>
            </w:r>
          </w:p>
        </w:tc>
      </w:tr>
      <w:tr>
        <w:tc>
          <w:tcPr>
            <w:tcW w:w="700" w:type="dxa"/>
          </w:tcPr>
          <w:p>
            <w:pPr>
              <w:spacing w:before="60" w:after="60"/>
              <w:jc w:val="center"/>
            </w:pPr>
            <w:r>
              <w:rPr>
                <w:color w:val="d4a017"/>
                <w:sz w:val="22"/>
              </w:rPr>
              <w:t>☐</w:t>
            </w:r>
          </w:p>
        </w:tc>
        <w:tc>
          <w:tcPr>
            <w:tcW w:w="9300" w:type="dxa"/>
          </w:tcPr>
          <w:p>
            <w:pPr>
              <w:spacing w:before="60" w:after="60"/>
            </w:pPr>
            <w:r>
              <w:rPr>
                <w:color w:val="1a1a1a"/>
                <w:sz w:val="20"/>
              </w:rPr>
              <w:t>You have the right to refuse entry to your home. Process servers cannot enter without your permission.</w:t>
            </w:r>
          </w:p>
        </w:tc>
      </w:tr>
      <w:tr>
        <w:tc>
          <w:tcPr>
            <w:tcW w:w="700" w:type="dxa"/>
          </w:tcPr>
          <w:p>
            <w:pPr>
              <w:spacing w:before="60" w:after="60"/>
              <w:jc w:val="center"/>
            </w:pPr>
            <w:r>
              <w:rPr>
                <w:color w:val="d4a017"/>
                <w:sz w:val="22"/>
              </w:rPr>
              <w:t>☐</w:t>
            </w:r>
          </w:p>
        </w:tc>
        <w:tc>
          <w:tcPr>
            <w:tcW w:w="9300" w:type="dxa"/>
          </w:tcPr>
          <w:p>
            <w:pPr>
              <w:spacing w:before="60" w:after="60"/>
            </w:pPr>
            <w:r>
              <w:rPr>
                <w:color w:val="1a1a1a"/>
                <w:sz w:val="20"/>
              </w:rPr>
              <w:t>You have the right to verify the documents. Ask what case the papers are for and which court issued them.</w:t>
            </w:r>
          </w:p>
        </w:tc>
      </w:tr>
      <w:tr>
        <w:tc>
          <w:tcPr>
            <w:tcW w:w="700" w:type="dxa"/>
          </w:tcPr>
          <w:p>
            <w:pPr>
              <w:spacing w:before="60" w:after="60"/>
              <w:jc w:val="center"/>
            </w:pPr>
            <w:r>
              <w:rPr>
                <w:color w:val="d4a017"/>
                <w:sz w:val="22"/>
              </w:rPr>
              <w:t>☐</w:t>
            </w:r>
          </w:p>
        </w:tc>
        <w:tc>
          <w:tcPr>
            <w:tcW w:w="9300" w:type="dxa"/>
          </w:tcPr>
          <w:p>
            <w:pPr>
              <w:spacing w:before="60" w:after="60"/>
            </w:pPr>
            <w:r>
              <w:rPr>
                <w:color w:val="1a1a1a"/>
                <w:sz w:val="20"/>
              </w:rPr>
              <w:t>You have the right to consult an attorney before responding. You typically have 20 days to file a response after being served.</w:t>
            </w:r>
          </w:p>
        </w:tc>
      </w:tr>
      <w:tr>
        <w:tc>
          <w:tcPr>
            <w:tcW w:w="700" w:type="dxa"/>
          </w:tcPr>
          <w:p>
            <w:pPr>
              <w:spacing w:before="60" w:after="60"/>
              <w:jc w:val="center"/>
            </w:pPr>
            <w:r>
              <w:rPr>
                <w:color w:val="d4a017"/>
                <w:sz w:val="22"/>
              </w:rPr>
              <w:t>☐</w:t>
            </w:r>
          </w:p>
        </w:tc>
        <w:tc>
          <w:tcPr>
            <w:tcW w:w="9300" w:type="dxa"/>
          </w:tcPr>
          <w:p>
            <w:pPr>
              <w:spacing w:before="60" w:after="60"/>
            </w:pPr>
            <w:r>
              <w:rPr>
                <w:color w:val="1a1a1a"/>
                <w:sz w:val="20"/>
              </w:rPr>
              <w:t>You have the right to ask questions about what you have been served. The server may explain what the papers are but cannot give legal advice.</w:t>
            </w:r>
          </w:p>
        </w:tc>
      </w:tr>
      <w:tr>
        <w:tc>
          <w:tcPr>
            <w:tcW w:w="700" w:type="dxa"/>
          </w:tcPr>
          <w:p>
            <w:pPr>
              <w:spacing w:before="60" w:after="60"/>
              <w:jc w:val="center"/>
            </w:pPr>
            <w:r>
              <w:rPr>
                <w:color w:val="d4a017"/>
                <w:sz w:val="22"/>
              </w:rPr>
              <w:t>☐</w:t>
            </w:r>
          </w:p>
        </w:tc>
        <w:tc>
          <w:tcPr>
            <w:tcW w:w="9300" w:type="dxa"/>
          </w:tcPr>
          <w:p>
            <w:pPr>
              <w:spacing w:before="60" w:after="60"/>
            </w:pPr>
            <w:r>
              <w:rPr>
                <w:color w:val="1a1a1a"/>
                <w:sz w:val="20"/>
              </w:rPr>
              <w:t>You have the right to receive service at a reasonable time. Avoiding service may result in alternative methods that do not require your cooperation.</w:t>
            </w:r>
          </w:p>
        </w:tc>
      </w:tr>
    </w:tbl>
    <w:p>
      <w:pPr>
        <w:pStyle w:val="Heading1"/>
      </w:pPr>
      <w:r>
        <w:t>Quick Facts About Service in Oklahoma</w:t>
      </w:r>
      <w:bookmarkStart w:name="_Toc005" w:id="6"/>
      <w:bookmarkEnd w:id="6"/>
    </w:p>
    <w:p>
      <w:r>
        <w:t>These Oklahoma-specific facts help put service of process in context:</w:t>
      </w:r>
    </w:p>
    <w:tbl>
      <w:tblPr>
        <w:tblW w:w="5000" w:type="pct"/>
        <w:tblBorders>
          <w:top w:val="single" w:color="1a2744" w:sz="8"/>
          <w:left w:val="nil"/>
          <w:bottom w:val="single" w:color="1a2744" w:sz="8"/>
          <w:right w:val="nil"/>
          <w:insideH w:val="single" w:color="d4cfc2" w:sz="4"/>
        </w:tblBorders>
      </w:tblPr>
      <w:tblGrid>
        <w:gridCol w:w="5000"/>
        <w:gridCol w:w="5000"/>
      </w:tblGrid>
      <w:tr>
        <w:trPr>
          <w:tblHeader/>
        </w:trPr>
        <w:tc>
          <w:tcPr>
            <w:tcW w:w="5000" w:type="dxa"/>
            <w:shd w:val="clear" w:fill="1a2744"/>
          </w:tcPr>
          <w:p>
            <w:pPr>
              <w:spacing w:before="60" w:after="60"/>
            </w:pPr>
            <w:r>
              <w:rPr>
                <w:b/>
                <w:color w:val="FFFFFF"/>
                <w:sz w:val="20"/>
              </w:rPr>
              <w:t>Fact</w:t>
            </w:r>
          </w:p>
        </w:tc>
        <w:tc>
          <w:tcPr>
            <w:tcW w:w="5000" w:type="dxa"/>
            <w:shd w:val="clear" w:fill="1a2744"/>
          </w:tcPr>
          <w:p>
            <w:pPr>
              <w:spacing w:before="60" w:after="60"/>
            </w:pPr>
            <w:r>
              <w:rPr>
                <w:b/>
                <w:color w:val="FFFFFF"/>
                <w:sz w:val="20"/>
              </w:rPr>
              <w:t>Details</w:t>
            </w:r>
          </w:p>
        </w:tc>
      </w:tr>
      <w:tr>
        <w:tc>
          <w:tcPr>
            <w:tcW w:w="5000" w:type="dxa"/>
            <w:shd w:val="clear" w:fill="FFFFFF"/>
          </w:tcPr>
          <w:p>
            <w:pPr>
              <w:spacing w:before="60" w:after="60"/>
            </w:pPr>
            <w:r>
              <w:rPr>
                <w:b/>
                <w:color w:val="1a2744"/>
                <w:sz w:val="20"/>
              </w:rPr>
              <w:t>Who Can Serve</w:t>
            </w:r>
          </w:p>
        </w:tc>
        <w:tc>
          <w:tcPr>
            <w:tcW w:w="5000" w:type="dxa"/>
            <w:shd w:val="clear" w:fill="FFFFFF"/>
          </w:tcPr>
          <w:p>
            <w:pPr>
              <w:spacing w:before="60" w:after="60"/>
            </w:pPr>
            <w:r>
              <w:rPr>
                <w:color w:val="1a1a1a"/>
                <w:sz w:val="20"/>
              </w:rPr>
              <w:t>Sheriffs, licensed private process servers, or persons specially appointed by the court. 12 O.S. §2004(C)(1)(a)</w:t>
            </w:r>
          </w:p>
        </w:tc>
      </w:tr>
      <w:tr>
        <w:tc>
          <w:tcPr>
            <w:tcW w:w="5000" w:type="dxa"/>
            <w:shd w:val="clear" w:fill="f9f9f9"/>
          </w:tcPr>
          <w:p>
            <w:pPr>
              <w:spacing w:before="60" w:after="60"/>
            </w:pPr>
            <w:r>
              <w:rPr>
                <w:b/>
                <w:color w:val="1a2744"/>
                <w:sz w:val="20"/>
              </w:rPr>
              <w:t>License Requirements</w:t>
            </w:r>
          </w:p>
        </w:tc>
        <w:tc>
          <w:tcPr>
            <w:tcW w:w="5000" w:type="dxa"/>
            <w:shd w:val="clear" w:fill="f9f9f9"/>
          </w:tcPr>
          <w:p>
            <w:pPr>
              <w:spacing w:before="60" w:after="60"/>
            </w:pPr>
            <w:r>
              <w:rPr>
                <w:color w:val="1a1a1a"/>
                <w:sz w:val="20"/>
              </w:rPr>
              <w:t>Age 18+, Oklahoma resident for 6+ months, county resident for 30+ days, good moral character, $5,000 bond. 12 O.S. §158.1</w:t>
            </w:r>
          </w:p>
        </w:tc>
      </w:tr>
      <w:tr>
        <w:tc>
          <w:tcPr>
            <w:tcW w:w="5000" w:type="dxa"/>
            <w:shd w:val="clear" w:fill="FFFFFF"/>
          </w:tcPr>
          <w:p>
            <w:pPr>
              <w:spacing w:before="60" w:after="60"/>
            </w:pPr>
            <w:r>
              <w:rPr>
                <w:b/>
                <w:color w:val="1a2744"/>
                <w:sz w:val="20"/>
              </w:rPr>
              <w:t>License Fee</w:t>
            </w:r>
          </w:p>
        </w:tc>
        <w:tc>
          <w:tcPr>
            <w:tcW w:w="5000" w:type="dxa"/>
            <w:shd w:val="clear" w:fill="FFFFFF"/>
          </w:tcPr>
          <w:p>
            <w:pPr>
              <w:spacing w:before="60" w:after="60"/>
            </w:pPr>
            <w:r>
              <w:rPr>
                <w:color w:val="1a1a1a"/>
                <w:sz w:val="20"/>
              </w:rPr>
              <w:t>$150 for statewide license. Renewals are $15 per three-year period. Verify current fees with the court clerk.</w:t>
            </w:r>
          </w:p>
        </w:tc>
      </w:tr>
      <w:tr>
        <w:tc>
          <w:tcPr>
            <w:tcW w:w="5000" w:type="dxa"/>
            <w:shd w:val="clear" w:fill="f9f9f9"/>
          </w:tcPr>
          <w:p>
            <w:pPr>
              <w:spacing w:before="60" w:after="60"/>
            </w:pPr>
            <w:r>
              <w:rPr>
                <w:b/>
                <w:color w:val="1a2744"/>
                <w:sz w:val="20"/>
              </w:rPr>
              <w:t>Service Deadline</w:t>
            </w:r>
          </w:p>
        </w:tc>
        <w:tc>
          <w:tcPr>
            <w:tcW w:w="5000" w:type="dxa"/>
            <w:shd w:val="clear" w:fill="f9f9f9"/>
          </w:tcPr>
          <w:p>
            <w:pPr>
              <w:spacing w:before="60" w:after="60"/>
            </w:pPr>
            <w:r>
              <w:rPr>
                <w:color w:val="1a1a1a"/>
                <w:sz w:val="20"/>
              </w:rPr>
              <w:t>Service must be made within 180 days of filing, or the case may be dismissed. 12 O.S. §2004(I)</w:t>
            </w:r>
          </w:p>
        </w:tc>
      </w:tr>
      <w:tr>
        <w:tc>
          <w:tcPr>
            <w:tcW w:w="5000" w:type="dxa"/>
            <w:shd w:val="clear" w:fill="FFFFFF"/>
          </w:tcPr>
          <w:p>
            <w:pPr>
              <w:spacing w:before="60" w:after="60"/>
            </w:pPr>
            <w:r>
              <w:rPr>
                <w:b/>
                <w:color w:val="1a2744"/>
                <w:sz w:val="20"/>
              </w:rPr>
              <w:t>Response Deadline</w:t>
            </w:r>
          </w:p>
        </w:tc>
        <w:tc>
          <w:tcPr>
            <w:tcW w:w="5000" w:type="dxa"/>
            <w:shd w:val="clear" w:fill="FFFFFF"/>
          </w:tcPr>
          <w:p>
            <w:pPr>
              <w:spacing w:before="60" w:after="60"/>
            </w:pPr>
            <w:r>
              <w:rPr>
                <w:color w:val="1a1a1a"/>
                <w:sz w:val="20"/>
              </w:rPr>
              <w:t>Defendants typically have 20 days to respond after being served. Verify with the court.</w:t>
            </w:r>
          </w:p>
        </w:tc>
      </w:tr>
      <w:tr>
        <w:tc>
          <w:tcPr>
            <w:tcW w:w="5000" w:type="dxa"/>
            <w:shd w:val="clear" w:fill="f9f9f9"/>
          </w:tcPr>
          <w:p>
            <w:pPr>
              <w:spacing w:before="60" w:after="60"/>
            </w:pPr>
            <w:r>
              <w:rPr>
                <w:b/>
                <w:color w:val="1a2744"/>
                <w:sz w:val="20"/>
              </w:rPr>
              <w:t>Badge Policy</w:t>
            </w:r>
          </w:p>
        </w:tc>
        <w:tc>
          <w:tcPr>
            <w:tcW w:w="5000" w:type="dxa"/>
            <w:shd w:val="clear" w:fill="f9f9f9"/>
          </w:tcPr>
          <w:p>
            <w:pPr>
              <w:spacing w:before="60" w:after="60"/>
            </w:pPr>
            <w:r>
              <w:rPr>
                <w:color w:val="1a1a1a"/>
                <w:sz w:val="20"/>
              </w:rPr>
              <w:t>Process servers in Tulsa County cannot wear badges. They must carry their license and show it when serving. Tulsa County Rule 17</w:t>
            </w:r>
          </w:p>
        </w:tc>
      </w:tr>
      <w:tr>
        <w:tc>
          <w:tcPr>
            <w:tcW w:w="5000" w:type="dxa"/>
            <w:shd w:val="clear" w:fill="FFFFFF"/>
          </w:tcPr>
          <w:p>
            <w:pPr>
              <w:spacing w:before="60" w:after="60"/>
            </w:pPr>
            <w:r>
              <w:rPr>
                <w:b/>
                <w:color w:val="1a2744"/>
                <w:sz w:val="20"/>
              </w:rPr>
              <w:t>Weapon Policy</w:t>
            </w:r>
          </w:p>
        </w:tc>
        <w:tc>
          <w:tcPr>
            <w:tcW w:w="5000" w:type="dxa"/>
            <w:shd w:val="clear" w:fill="FFFFFF"/>
          </w:tcPr>
          <w:p>
            <w:pPr>
              <w:spacing w:before="60" w:after="60"/>
            </w:pPr>
            <w:r>
              <w:rPr>
                <w:color w:val="1a1a1a"/>
                <w:sz w:val="20"/>
              </w:rPr>
              <w:t>Process servers cannot carry weapons unless they have a concealed carry permit. Tulsa County Rule 17</w:t>
            </w:r>
          </w:p>
        </w:tc>
      </w:tr>
      <w:tr>
        <w:tc>
          <w:tcPr>
            <w:tcW w:w="5000" w:type="dxa"/>
            <w:shd w:val="clear" w:fill="f9f9f9"/>
          </w:tcPr>
          <w:p>
            <w:pPr>
              <w:spacing w:before="60" w:after="60"/>
            </w:pPr>
            <w:r>
              <w:rPr>
                <w:b/>
                <w:color w:val="1a2744"/>
                <w:sz w:val="20"/>
              </w:rPr>
              <w:t>Types of Cases</w:t>
            </w:r>
          </w:p>
        </w:tc>
        <w:tc>
          <w:tcPr>
            <w:tcW w:w="5000" w:type="dxa"/>
            <w:shd w:val="clear" w:fill="f9f9f9"/>
          </w:tcPr>
          <w:p>
            <w:pPr>
              <w:spacing w:before="60" w:after="60"/>
            </w:pPr>
            <w:r>
              <w:rPr>
                <w:color w:val="1a1a1a"/>
                <w:sz w:val="20"/>
              </w:rPr>
              <w:t>Process servers handle civil cases including divorce, eviction, small claims, debt collection, business disputes, subpoenas, and more.</w:t>
            </w:r>
          </w:p>
        </w:tc>
      </w:tr>
      <w:tr>
        <w:tc>
          <w:tcPr>
            <w:tcW w:w="5000" w:type="dxa"/>
            <w:shd w:val="clear" w:fill="FFFFFF"/>
          </w:tcPr>
          <w:p>
            <w:pPr>
              <w:spacing w:before="60" w:after="60"/>
            </w:pPr>
            <w:r>
              <w:rPr>
                <w:b/>
                <w:color w:val="1a2744"/>
                <w:sz w:val="20"/>
              </w:rPr>
              <w:t>Unlicensed Service</w:t>
            </w:r>
          </w:p>
        </w:tc>
        <w:tc>
          <w:tcPr>
            <w:tcW w:w="5000" w:type="dxa"/>
            <w:shd w:val="clear" w:fill="FFFFFF"/>
          </w:tcPr>
          <w:p>
            <w:pPr>
              <w:spacing w:before="60" w:after="60"/>
            </w:pPr>
            <w:r>
              <w:rPr>
                <w:color w:val="1a1a1a"/>
                <w:sz w:val="20"/>
              </w:rPr>
              <w:t>Serving process without a license is a misdemeanor under Oklahoma law. 12 O.S. §158.1(I)</w:t>
            </w:r>
          </w:p>
        </w:tc>
      </w:tr>
      <w:tr>
        <w:tc>
          <w:tcPr>
            <w:tcW w:w="5000" w:type="dxa"/>
            <w:shd w:val="clear" w:fill="f9f9f9"/>
          </w:tcPr>
          <w:p>
            <w:pPr>
              <w:spacing w:before="60" w:after="60"/>
            </w:pPr>
            <w:r>
              <w:rPr>
                <w:b/>
                <w:color w:val="1a2744"/>
                <w:sz w:val="20"/>
              </w:rPr>
              <w:t>Electronic Service</w:t>
            </w:r>
          </w:p>
        </w:tc>
        <w:tc>
          <w:tcPr>
            <w:tcW w:w="5000" w:type="dxa"/>
            <w:shd w:val="clear" w:fill="f9f9f9"/>
          </w:tcPr>
          <w:p>
            <w:pPr>
              <w:spacing w:before="60" w:after="60"/>
            </w:pPr>
            <w:r>
              <w:rPr>
                <w:color w:val="1a1a1a"/>
                <w:sz w:val="20"/>
              </w:rPr>
              <w:t>Documents after the original petition can be served by email if the party consents in writing. 12 O.S. §2005(B)</w:t>
            </w:r>
          </w:p>
        </w:tc>
      </w:tr>
    </w:tbl>
    <w:p>
      <w:r>
        <w:t>Source: 12 O.S. §2004; 12 O.S. §158.1; 12 O.S. §2005; Tulsa County District Court Rule 17</w:t>
      </w:r>
    </w:p>
    <w:p>
      <w:pPr>
        <w:sectPr>
          <w:headerReference w:type="default" r:id="R31cde1524ac44ef6"/>
          <w:footerReference w:type="default" r:id="R2d0436b63ba6429c"/>
          <w:pgSz w:w="12240" w:h="15840"/>
          <w:pgMar w:top="1440" w:right="1440" w:bottom="1440" w:left="1440" w:header="720" w:footer="720"/>
        </w:sectPr>
      </w:pPr>
    </w:p>
    <w:p>
      <w:pPr>
        <w:pStyle w:val="Heading1"/>
      </w:pPr>
      <w:r>
        <w:t>Important Disclaimer</w:t>
      </w:r>
      <w:bookmarkStart w:name="_Toc006" w:id="7"/>
      <w:bookmarkEnd w:id="7"/>
    </w:p>
    <w:p>
      <w:r>
        <w:t>This document is provided by Just Legal Solutions for educational purposes only. It is not legal advice and does not create an attorney-client relationship.</w:t>
      </w:r>
    </w:p>
    <w:p>
      <w:pPr>
        <w:pStyle w:val="Heading2"/>
      </w:pPr>
      <w:r>
        <w:t>Not a Law Firm</w:t>
      </w:r>
    </w:p>
    <w:p>
      <w:r>
        <w:t>Just Legal Solutions is not a law firm. Joseph Iannazzi is a licensed private process server, not an attorney. This document provides procedural information only. It does not advise you what to do in your specific situation.</w:t>
      </w:r>
    </w:p>
    <w:p>
      <w:pPr>
        <w:pStyle w:val="Heading2"/>
      </w:pPr>
      <w:r>
        <w:t>Verify All Information</w:t>
      </w:r>
    </w:p>
    <w:p>
      <w:r>
        <w:t>Laws and court rules change. Always verify current requirements with the court clerk or a licensed attorney before taking any legal action. Procedures may vary by county and by judge.</w:t>
      </w:r>
    </w:p>
    <w:p>
      <w:pPr>
        <w:pStyle w:val="Heading2"/>
      </w:pPr>
      <w:r>
        <w:t>No Guarantees</w:t>
      </w:r>
    </w:p>
    <w:p>
      <w:r>
        <w:t>Every case is different. The information in this guide is general and may not apply to your specific situation. Results vary based on facts, jurisdiction, and court discretion.</w:t>
      </w:r>
    </w:p>
    <w:tbl>
      <w:tblPr>
        <w:tblW w:w="5000" w:type="pct"/>
        <w:tblBorders>
          <w:top w:val="single" w:color="1a2744" w:sz="8"/>
          <w:left w:val="single" w:color="1a2744" w:sz="8"/>
          <w:bottom w:val="single" w:color="1a2744" w:sz="8"/>
          <w:right w:val="single" w:color="1a2744" w:sz="8"/>
        </w:tblBorders>
      </w:tblPr>
      <w:tblGrid>
        <w:gridCol w:w="10000"/>
      </w:tblGrid>
      <w:tr>
        <w:tc>
          <w:tcPr>
            <w:tcW w:w="10000" w:type="dxa"/>
            <w:shd w:val="clear" w:fill="f5f5f5"/>
          </w:tcPr>
          <w:p>
            <w:pPr>
              <w:spacing w:before="120" w:after="60"/>
              <w:jc w:val="center"/>
            </w:pPr>
            <w:r>
              <w:rPr>
                <w:b/>
                <w:color w:val="1a2744"/>
                <w:sz w:val="22"/>
              </w:rPr>
              <w:t>DISCLAIMER</w:t>
            </w:r>
          </w:p>
          <w:p>
            <w:pPr>
              <w:spacing w:before="60" w:after="60"/>
              <w:jc w:val="center"/>
            </w:pPr>
            <w:r>
              <w:rPr>
                <w:color w:val="4a4a4a"/>
                <w:sz w:val="20"/>
              </w:rPr>
              <w:t>Not a law firm. This document provides procedural information only.</w:t>
            </w:r>
          </w:p>
          <w:p>
            <w:pPr>
              <w:spacing w:before="60" w:after="120"/>
              <w:jc w:val="center"/>
            </w:pPr>
            <w:r>
              <w:rPr>
                <w:color w:val="4a4a4a"/>
                <w:sz w:val="20"/>
              </w:rPr>
              <w:t>Just Legal Solutions · (539) 367-6832 · info@JustLegalSolutions.org · justlegalsolutions.org</w:t>
            </w:r>
          </w:p>
        </w:tc>
      </w:tr>
    </w:tbl>
    <w:p>
      <w:pPr>
        <w:sectPr>
          <w:type w:val="nextPage"/>
          <w:pgSz w:w="12240" w:h="15840"/>
          <w:pgMar w:top="1440" w:right="1440" w:bottom="1440" w:left="1440" w:header="720" w:footer="720"/>
        </w:sectPr>
      </w:pPr>
    </w:p>
    <w:p>
      <w: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4" name="BackBg"/>
            <wp:cNvGraphicFramePr>
              <a:graphicFrameLocks noChangeAspect="1"/>
            </wp:cNvGraphicFramePr>
            <a:graphic>
              <a:graphicData uri="http://schemas.openxmlformats.org/drawingml/2006/picture">
                <pic:pic>
                  <pic:nvPicPr>
                    <pic:cNvPr id="0" name="BackBg.png"/>
                    <pic:cNvPicPr/>
                  </pic:nvPicPr>
                  <pic:blipFill>
                    <a:blip r:embed="R4469e69a4fbd46c8"/>
                    <a:stretch>
                      <a:fillRect/>
                    </a:stretch>
                  </pic:blipFill>
                  <pic:spPr>
                    <a:xfrm>
                      <a:off x="0" y="0"/>
                      <a:ext cx="7772400" cy="10058400"/>
                    </a:xfrm>
                    <a:prstGeom prst="rect"/>
                  </pic:spPr>
                </pic:pic>
              </a:graphicData>
            </a:graphic>
          </wp:anchor>
        </w:drawing>
      </w:r>
    </w:p>
    <w:p>
      <w:pPr>
        <w:spacing w:before="6000"/>
      </w:pPr>
      <w:r/>
    </w:p>
    <w:p>
      <w:pPr>
        <w:spacing w:after="200"/>
        <w:jc w:val="center"/>
      </w:pPr>
      <w:r>
        <w:rPr>
          <w:b/>
          <w:color w:val="d4a017"/>
          <w:sz w:val="48"/>
        </w:rPr>
        <w:t>Just Legal Solutions</w:t>
      </w:r>
    </w:p>
    <w:p>
      <w:pPr>
        <w:spacing w:after="120"/>
        <w:jc w:val="center"/>
      </w:pPr>
      <w:r>
        <w:rPr>
          <w:color w:val="FFFFFF"/>
          <w:sz w:val="22"/>
        </w:rPr>
        <w:t>Professional Process Serving Across Oklahoma</w:t>
      </w:r>
    </w:p>
    <w:p>
      <w:pPr>
        <w:spacing w:before="600" w:after="60"/>
        <w:jc w:val="center"/>
      </w:pPr>
      <w:r>
        <w:rPr>
          <w:color w:val="8899aa"/>
          <w:sz w:val="20"/>
        </w:rPr>
        <w:t>(539) 367-6832</w:t>
      </w:r>
    </w:p>
    <w:p>
      <w:pPr>
        <w:spacing w:after="60"/>
        <w:jc w:val="center"/>
      </w:pPr>
      <w:r>
        <w:rPr>
          <w:color w:val="8899aa"/>
          <w:sz w:val="20"/>
        </w:rPr>
        <w:t>info@JustLegalSolutions.org</w:t>
      </w:r>
    </w:p>
    <w:p>
      <w:pPr>
        <w:spacing w:after="60"/>
        <w:jc w:val="center"/>
      </w:pPr>
      <w:r>
        <w:rPr>
          <w:color w:val="8899aa"/>
          <w:sz w:val="20"/>
        </w:rPr>
        <w:t>justlegalsolutions.org</w:t>
      </w:r>
    </w:p>
    <w:p>
      <w:pPr>
        <w:spacing w:before="400"/>
        <w:jc w:val="center"/>
      </w:pPr>
      <w:r>
        <w:rPr>
          <w:color w:val="667788"/>
          <w:sz w:val="18"/>
        </w:rPr>
        <w:t>Joseph Iannazzi, NAPPS #14801</w:t>
      </w:r>
    </w:p>
    <w:p>
      <w:pPr>
        <w:spacing w:before="1200"/>
        <w:jc w:val="center"/>
      </w:pPr>
      <w:r>
        <w:rPr>
          <w:color w:val="556677"/>
          <w:sz w:val="16"/>
        </w:rPr>
        <w:t>v1.0 · 2026-04-20 · Next review: 2026-10-20</w:t>
      </w:r>
    </w:p>
    <w:p>
      <w:pPr>
        <w:spacing w:after="200"/>
        <w:jc w:val="center"/>
      </w:pPr>
      <w:r>
        <w:rPr>
          <w:color w:val="556677"/>
          <w:sz w:val="16"/>
        </w:rPr>
        <w:t>Not a law firm. This document provides procedural information only.</w:t>
      </w:r>
    </w:p>
    <w:sectPr>
      <w:pgSz w:w="12240" w:h="15840"/>
      <w:pgMar w:top="0" w:right="0" w:bottom="0" w:left="0" w:header="0" w:footer="0"/>
    </w:sectPr>
  </w:body>
</w:document>
</file>

<file path=word/footer1.xml><?xml version="1.0" encoding="utf-8"?>
<w:ftr xmlns:w="http://schemas.openxmlformats.org/wordprocessingml/2006/main">
  <w:p>
    <w:pPr>
      <w:pBdr>
        <w:top w:val="single" w:color="d4a017" w:sz="4"/>
      </w:pBdr>
      <w:jc w:val="center"/>
    </w:pPr>
    <w:r>
      <w:rPr>
        <w:color w:val="4a4a4a"/>
        <w:sz w:val="16"/>
      </w:rPr>
      <w:t xml:space="preserve">Just Legal Solutions · (539) 367-6832 · info@JustLegalSolutions.org · justlegalsolutions.org</w:t>
    </w:r>
    <w:r>
      <w:rPr>
        <w:color w:val="4a4a4a"/>
        <w:sz w:val="16"/>
      </w:rPr>
      <w:t xml:space="preserve">  |  Page </w:t>
    </w:r>
    <w:r>
      <w:rPr>
        <w:color w:val="4a4a4a"/>
        <w:sz w:val="16"/>
      </w:rPr>
      <w:fldChar w:fldCharType="begin"/>
    </w:r>
    <w:r>
      <w:rPr>
        <w:color w:val="4a4a4a"/>
        <w:sz w:val="16"/>
      </w:rPr>
      <w:instrText xml:space="preserve"> PAGE </w:instrText>
    </w:r>
    <w:r>
      <w:rPr>
        <w:color w:val="4a4a4a"/>
        <w:sz w:val="16"/>
      </w:rPr>
      <w:fldChar w:fldCharType="separate"/>
    </w:r>
    <w:r>
      <w:rPr>
        <w:color w:val="4a4a4a"/>
        <w:sz w:val="16"/>
      </w:rPr>
      <w:t>1</w:t>
    </w:r>
    <w:r>
      <w:rPr>
        <w:color w:val="4a4a4a"/>
        <w:sz w:val="16"/>
      </w:rPr>
      <w:fldChar w:fldCharType="end"/>
    </w:r>
  </w:p>
</w:ftr>
</file>

<file path=word/header1.xml><?xml version="1.0" encoding="utf-8"?>
<w:hdr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p>
    <w:pPr>
      <w:pBdr>
        <w:bottom w:val="single" w:color="d4a017" w:sz="4"/>
      </w:pBdr>
      <w:jc w:val="right"/>
    </w:pPr>
    <w:r>
      <w:drawing>
        <wp:inline distT="0" distB="0" distL="0" distR="0">
          <wp:extent cx="900000" cy="900000"/>
          <wp:effectExtent l="0" t="0" r="0" b="0"/>
          <wp:docPr id="3" name="JLSLogoH"/>
          <wp:cNvGraphicFramePr>
            <a:graphicFrameLocks noChangeAspect="1"/>
          </wp:cNvGraphicFramePr>
          <a:graphic>
            <a:graphicData uri="http://schemas.openxmlformats.org/drawingml/2006/picture">
              <pic:pic>
                <pic:nvPicPr>
                  <pic:cNvPr id="0" name="JLSLogoH.png"/>
                  <pic:cNvPicPr/>
                </pic:nvPicPr>
                <pic:blipFill>
                  <a:blip r:embed="R8a641467098a41b6"/>
                  <a:stretch>
                    <a:fillRect/>
                  </a:stretch>
                </pic:blipFill>
                <pic:spPr>
                  <a:xfrm>
                    <a:off x="0" y="0"/>
                    <a:ext cx="900000" cy="900000"/>
                  </a:xfrm>
                  <a:prstGeom prst="rect"/>
                </pic:spPr>
              </pic:pic>
            </a:graphicData>
          </a:graphic>
        </wp:inline>
      </w:drawing>
    </w:r>
    <w:r>
      <w:rPr>
        <w:b/>
        <w:color w:val="1a2744"/>
        <w:sz w:val="18"/>
      </w:rPr>
      <w:t>  Process Server Myths vs. Reality</w:t>
    </w:r>
  </w:p>
</w:hdr>
</file>

<file path=word/numbering.xml><?xml version="1.0" encoding="utf-8"?>
<w:numbering xmlns:w="http://schemas.openxmlformats.org/wordprocessingml/2006/main">
  <w:abstractNum w:abstractNumId="1">
    <w:lvl w:ilvl="0">
      <w:numFmt w:val="decimal"/>
      <w:lvlText w:val="%1."/>
      <w:lvlJc w:val="left"/>
      <w:pPr>
        <w:ind w:left="720" w:hanging="360"/>
      </w:pPr>
    </w:lvl>
  </w:abstractNum>
  <w:num w:numId="1">
    <w:abstractNumId w:val="1"/>
  </w:num>
</w:numbering>
</file>

<file path=word/settings.xml><?xml version="1.0" encoding="utf-8"?>
<w:settings xmlns:w="http://schemas.openxmlformats.org/wordprocessingml/2006/main">
  <w:displayBackgroundShape/>
  <w:updateFields w:val="true"/>
</w:settings>
</file>

<file path=word/styles.xml><?xml version="1.0" encoding="utf-8"?>
<w:styles xmlns:w="http://schemas.openxmlformats.org/wordprocessingml/2006/main">
  <w:style w:type="paragraph" w:styleId="Normal" w:default="true">
    <w:name w:val="Normal"/>
    <w:pPr>
      <w:spacing w:after="160" w:line="288" w:lineRule="auto"/>
    </w:pPr>
    <w:rPr>
      <w:rFonts w:ascii="Calibri" w:hAnsi="Calibri" w:eastAsia="Calibri"/>
      <w:color w:val="1a1a1a"/>
      <w:sz w:val="22"/>
    </w:rPr>
  </w:style>
  <w:style w:type="paragraph" w:styleId="Heading1">
    <w:name w:val="heading 1"/>
    <w:basedOn w:val="Normal"/>
    <w:pPr>
      <w:keepNext/>
      <w:keepLines/>
      <w:spacing w:before="400" w:after="200"/>
      <w:outlineLvl w:val="0"/>
    </w:pPr>
    <w:rPr>
      <w:rFonts w:ascii="Calibri" w:hAnsi="Calibri" w:eastAsia="Calibri"/>
      <w:b/>
      <w:color w:val="1a2744"/>
      <w:sz w:val="36"/>
    </w:rPr>
  </w:style>
  <w:style w:type="paragraph" w:styleId="Heading2">
    <w:name w:val="heading 2"/>
    <w:basedOn w:val="Normal"/>
    <w:pPr>
      <w:keepNext/>
      <w:keepLines/>
      <w:spacing w:before="320" w:after="120"/>
      <w:outlineLvl w:val="1"/>
    </w:pPr>
    <w:rPr>
      <w:rFonts w:ascii="Calibri" w:hAnsi="Calibri" w:eastAsia="Calibri"/>
      <w:b/>
      <w:color w:val="1a2744"/>
      <w:sz w:val="28"/>
    </w:rPr>
  </w:style>
  <w:style w:type="paragraph" w:styleId="Heading3">
    <w:name w:val="heading 3"/>
    <w:basedOn w:val="Normal"/>
    <w:pPr>
      <w:keepNext/>
      <w:keepLines/>
      <w:spacing w:before="240" w:after="80"/>
      <w:outlineLvl w:val="2"/>
    </w:pPr>
    <w:rPr>
      <w:rFonts w:ascii="Calibri" w:hAnsi="Calibri" w:eastAsia="Calibri"/>
      <w:b/>
      <w:color w:val="4a4a4a"/>
      <w:sz w:val="24"/>
    </w:rPr>
  </w:style>
  <w:style w:type="paragraph" w:styleId="Caption">
    <w:name w:val="Caption"/>
    <w:basedOn w:val="Normal"/>
    <w:pPr>
      <w:spacing w:before="60" w:after="240"/>
      <w:jc w:val="center"/>
    </w:pPr>
    <w:rPr>
      <w:color w:val="6b6b6b"/>
      <w:sz w:val="18"/>
    </w:rPr>
  </w:style>
  <w:style w:type="paragraph" w:styleId="TOC1">
    <w:name w:val="toc 1"/>
    <w:basedOn w:val="Normal"/>
    <w:pPr>
      <w:tabs>
        <w:tab w:val="right" w:leader="dot" w:pos="9350"/>
      </w:tabs>
      <w:spacing w:before="160" w:after="40"/>
      <w:ind w:left="0"/>
    </w:pPr>
    <w:rPr>
      <w:b/>
      <w:color w:val="1a1a1a"/>
    </w:rPr>
  </w:style>
  <w:style w:type="paragraph" w:styleId="TOC2">
    <w:name w:val="toc 2"/>
    <w:basedOn w:val="Normal"/>
    <w:pPr>
      <w:tabs>
        <w:tab w:val="right" w:leader="dot" w:pos="9350"/>
      </w:tabs>
      <w:spacing w:before="60" w:after="40"/>
      <w:ind w:left="360"/>
    </w:pPr>
    <w:rPr>
      <w:color w:val="4a4a4a"/>
    </w:rPr>
  </w:style>
</w:styles>
</file>

<file path=word/_rels/document.xml.rels><?xml version='1.0' encoding='UTF-8'?>
<Relationships xmlns="http://schemas.openxmlformats.org/package/2006/relationships"><Relationship Type="http://schemas.openxmlformats.org/officeDocument/2006/relationships/styles" Target="styles.xml" Id="R493746674c8144ff" /><Relationship Type="http://schemas.openxmlformats.org/officeDocument/2006/relationships/numbering" Target="numbering.xml" Id="Rcc08a04b93094bc7" /><Relationship Type="http://schemas.openxmlformats.org/officeDocument/2006/relationships/image" Target="media/image.png" Id="R4f32ab61c49f4aa8" /><Relationship Type="http://schemas.openxmlformats.org/officeDocument/2006/relationships/image" Target="media/image2.png" Id="R4469e69a4fbd46c8" /><Relationship Type="http://schemas.openxmlformats.org/officeDocument/2006/relationships/image" Target="media/image3.png" Id="R5f3802b96d9045c4" /><Relationship Type="http://schemas.openxmlformats.org/officeDocument/2006/relationships/header" Target="header1.xml" Id="R31cde1524ac44ef6" /><Relationship Type="http://schemas.openxmlformats.org/officeDocument/2006/relationships/footer" Target="footer1.xml" Id="R2d0436b63ba6429c" /><Relationship Type="http://schemas.openxmlformats.org/officeDocument/2006/relationships/settings" Target="settings.xml" Id="R2de6d5d79e7e4cf9" /></Relationships>
</file>

<file path=word/_rels/header1.xml.rels><?xml version='1.0' encoding='UTF-8'?>
<Relationships xmlns="http://schemas.openxmlformats.org/package/2006/relationships"><Relationship Type="http://schemas.openxmlformats.org/officeDocument/2006/relationships/image" Target="media/image4.png" Id="R8a641467098a41b6" /></Relationships>
</file>