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69ad9faca27c4a45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hd w:val="clear" w:fill="1a2744"/>
        <w:spacing w:before="0" w:after="0" w:line="2400" w:lineRule="exact"/>
      </w:pPr>
      <w:r>
        <w:rPr>
          <w:color w:val="FFFFFF"/>
          <w:sz w:val="8"/>
        </w:rPr>
        <w:t xml:space="preserve"> </w:t>
      </w:r>
    </w:p>
    <w:p>
      <w:pPr>
        <w:spacing w:before="2400"/>
      </w:pPr>
      <w:r/>
    </w:p>
    <w:p>
      <w:pPr>
        <w:spacing w:before="800" w:after="200"/>
        <w:jc w:val="center"/>
      </w:pPr>
      <w:r>
        <w:rPr>
          <w:b/>
          <w:color w:val="1a2744"/>
          <w:sz w:val="64"/>
        </w:rPr>
        <w:t>Oklahoma</w:t>
      </w:r>
    </w:p>
    <w:p>
      <w:pPr>
        <w:spacing w:after="200"/>
        <w:jc w:val="center"/>
      </w:pPr>
      <w:r>
        <w:rPr>
          <w:b/>
          <w:color w:val="1a2744"/>
          <w:sz w:val="64"/>
        </w:rPr>
        <w:t>Military Bases</w:t>
      </w:r>
    </w:p>
    <w:p>
      <w:pPr>
        <w:spacing w:after="200"/>
        <w:jc w:val="center"/>
      </w:pPr>
      <w:r>
        <w:rPr>
          <w:b/>
          <w:color w:val="1a2744"/>
          <w:sz w:val="64"/>
        </w:rPr>
        <w:t>Service Guide</w:t>
      </w:r>
    </w:p>
    <w:p>
      <w:pPr>
        <w:spacing w:before="200" w:after="200"/>
        <w:jc w:val="center"/>
      </w:pPr>
      <w:r>
        <w:rPr>
          <w:color w:val="d4a017"/>
          <w:sz w:val="28"/>
        </w:rPr>
        <w:t>──────────</w:t>
      </w:r>
    </w:p>
    <w:p>
      <w:pPr>
        <w:spacing w:after="120"/>
        <w:jc w:val="center"/>
      </w:pPr>
      <w:r>
        <w:rPr>
          <w:color w:val="4a4a4a"/>
          <w:sz w:val="28"/>
        </w:rPr>
        <w:t>Serving Process on Oklahoma Military Installations</w:t>
      </w:r>
    </w:p>
    <w:p>
      <w:pPr>
        <w:spacing w:after="600"/>
        <w:jc w:val="center"/>
      </w:pPr>
      <w:r>
        <w:rPr>
          <w:color w:val="888888"/>
          <w:sz w:val="24"/>
        </w:rPr>
        <w:t>SCRA Compliance · Base Contact Directory · Step-by-Step Procedures</w:t>
      </w:r>
    </w:p>
    <w:p>
      <w:pPr>
        <w:spacing w:before="2400" w:after="80"/>
        <w:jc w:val="center"/>
      </w:pPr>
      <w:r>
        <w:rPr>
          <w:color w:val="1a2744"/>
          <w:sz w:val="22"/>
        </w:rPr>
        <w:t>Just Legal Solutions</w:t>
      </w:r>
    </w:p>
    <w:p>
      <w:pPr>
        <w:spacing w:after="80"/>
        <w:jc w:val="center"/>
      </w:pPr>
      <w:r>
        <w:rPr>
          <w:color w:val="4a4a4a"/>
          <w:sz w:val="20"/>
        </w:rPr>
        <w:t>(539) 367-6832  ·  info@JustLegalSolutions.org  ·  justlegalsolutions.org</w:t>
      </w:r>
    </w:p>
    <w:p>
      <w:pPr>
        <w:jc w:val="center"/>
      </w:pPr>
      <w:r>
        <w:rPr>
          <w:color w:val="888888"/>
          <w:sz w:val="18"/>
        </w:rPr>
        <w:t>Joseph Iannazzi, NAPPS #14801</w:t>
      </w:r>
    </w:p>
    <w:p>
      <w:pPr>
        <w:sectPr>
          <w:type w:val="nextPage"/>
          <w:pgSz w:w="12240" w:h="15840"/>
          <w:pgMar w:top="0" w:right="0" w:bottom="0" w:left="0" w:header="0" w:footer="0"/>
          <w:titlePg/>
        </w:sectPr>
      </w:pPr>
    </w:p>
    <w:p>
      <w:pPr>
        <w:pStyle w:val="Heading1"/>
      </w:pPr>
      <w:r>
        <w:t>Table of Contents</w:t>
      </w:r>
    </w:p>
    <w:p>
      <w:pPr>
        <w:spacing w:after="200"/>
      </w:pPr>
      <w:r>
        <w:rPr>
          <w:color w:val="888888"/>
          <w:sz w:val="20"/>
        </w:rPr>
        <w:t>Right-click and select "Update Field" to refresh page numbers</w:t>
      </w:r>
    </w:p>
    <w:p>
      <w:r>
        <w:fldChar w:fldCharType="begin"/>
      </w:r>
      <w:r>
        <w:instrText xml:space="preserve"> TOC \o "1-2" \h \z \u </w:instrText>
      </w:r>
      <w:r>
        <w:fldChar w:fldCharType="separate"/>
      </w:r>
    </w:p>
    <w:p>
      <w:pPr>
        <w:pStyle w:val="TOC1"/>
      </w:pPr>
      <w:r>
        <w:t>Oklahoma Military Bases</w:t>
      </w:r>
      <w:r>
        <w:tab/>
      </w:r>
      <w:r>
        <w:t>3</w:t>
      </w:r>
    </w:p>
    <w:p>
      <w:pPr>
        <w:pStyle w:val="TOC1"/>
      </w:pPr>
      <w:r>
        <w:t>SCRA Requirements</w:t>
      </w:r>
      <w:r>
        <w:tab/>
      </w:r>
      <w:r>
        <w:t>4</w:t>
      </w:r>
    </w:p>
    <w:p>
      <w:pPr>
        <w:pStyle w:val="TOC1"/>
      </w:pPr>
      <w:r>
        <w:t>DMDC Military Status Verification</w:t>
      </w:r>
      <w:r>
        <w:tab/>
      </w:r>
      <w:r>
        <w:t>4</w:t>
      </w:r>
    </w:p>
    <w:p>
      <w:pPr>
        <w:pStyle w:val="TOC1"/>
      </w:pPr>
      <w:r>
        <w:t>Serving on Base: Step-by-Step Checklist</w:t>
      </w:r>
      <w:r>
        <w:tab/>
      </w:r>
      <w:r>
        <w:t>5</w:t>
      </w:r>
    </w:p>
    <w:p>
      <w:pPr>
        <w:pStyle w:val="TOC1"/>
      </w:pPr>
      <w:r>
        <w:t>Special Considerations</w:t>
      </w:r>
      <w:r>
        <w:tab/>
      </w:r>
      <w:r>
        <w:t>5</w:t>
      </w:r>
    </w:p>
    <w:p>
      <w:pPr>
        <w:pStyle w:val="TOC1"/>
      </w:pPr>
      <w:r>
        <w:t>Important Reminders</w:t>
      </w:r>
      <w:r>
        <w:tab/>
      </w:r>
      <w:r>
        <w:t>6</w:t>
      </w:r>
    </w:p>
    <w:p>
      <w:r>
        <w:fldChar w:fldCharType="end"/>
      </w:r>
    </w:p>
    <w:p>
      <w:pPr>
        <w:sectPr>
          <w:type w:val="nextPage"/>
          <w:pgSz w:w="12240" w:h="15840"/>
          <w:pgMar w:top="1440" w:right="1440" w:bottom="1440" w:left="1440" w:header="720" w:footer="720"/>
        </w:sectPr>
      </w:pPr>
    </w:p>
    <w:p>
      <w:pPr>
        <w:pStyle w:val="Heading1"/>
      </w:pPr>
      <w:r>
        <w:t>Oklahoma Military Bases</w:t>
      </w:r>
    </w:p>
    <w:p>
      <w:r>
        <w:t>This guide covers the five major military installations in Oklahoma. Each base has its own rules for visitors and process servers. Always call ahead before visiting any installation.</w:t>
      </w:r>
    </w:p>
    <w:p>
      <w:pPr>
        <w:spacing w:before="200"/>
      </w:pP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1800"/>
        <w:gridCol w:w="1800"/>
        <w:gridCol w:w="1200"/>
        <w:gridCol w:w="2200"/>
        <w:gridCol w:w="2600"/>
      </w:tblGrid>
      <w:tr>
        <w:trPr>
          <w:tblHeader/>
        </w:trPr>
        <w:tc>
          <w:tcPr>
            <w:tcW w:w="18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Base</w:t>
            </w:r>
          </w:p>
        </w:tc>
        <w:tc>
          <w:tcPr>
            <w:tcW w:w="18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Location</w:t>
            </w:r>
          </w:p>
        </w:tc>
        <w:tc>
          <w:tcPr>
            <w:tcW w:w="12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Branch</w:t>
            </w:r>
          </w:p>
        </w:tc>
        <w:tc>
          <w:tcPr>
            <w:tcW w:w="22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JAG Phone</w:t>
            </w:r>
          </w:p>
        </w:tc>
        <w:tc>
          <w:tcPr>
            <w:tcW w:w="26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Visitor Policy Notes</w:t>
            </w:r>
          </w:p>
        </w:tc>
      </w:tr>
      <w:tr>
        <w:tc>
          <w:tcPr>
            <w:tcW w:w="18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Fort Sill</w:t>
            </w:r>
          </w:p>
        </w:tc>
        <w:tc>
          <w:tcPr>
            <w:tcW w:w="18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Lawton</w:t>
            </w:r>
          </w:p>
        </w:tc>
        <w:tc>
          <w:tcPr>
            <w:tcW w:w="12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Army</w:t>
            </w:r>
          </w:p>
        </w:tc>
        <w:tc>
          <w:tcPr>
            <w:tcW w:w="22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(580) 442-5058</w:t>
            </w:r>
          </w:p>
        </w:tc>
        <w:tc>
          <w:tcPr>
            <w:tcW w:w="26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Form 118a required. Call Visitor Welcome Center: (580) 442-9602. Background check needed.</w:t>
            </w:r>
          </w:p>
        </w:tc>
      </w:tr>
      <w:tr>
        <w:tc>
          <w:tcPr>
            <w:tcW w:w="18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Tinker AFB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Oklahoma City</w:t>
            </w:r>
          </w:p>
        </w:tc>
        <w:tc>
          <w:tcPr>
            <w:tcW w:w="12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Air Force</w:t>
            </w:r>
          </w:p>
        </w:tc>
        <w:tc>
          <w:tcPr>
            <w:tcW w:w="22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(405) 739-5811</w:t>
            </w:r>
          </w:p>
        </w:tc>
        <w:tc>
          <w:tcPr>
            <w:tcW w:w="26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72nd ABW/JA. Appointment required. Call base operator for visitor access.</w:t>
            </w:r>
          </w:p>
        </w:tc>
      </w:tr>
      <w:tr>
        <w:tc>
          <w:tcPr>
            <w:tcW w:w="18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Altus AFB</w:t>
            </w:r>
          </w:p>
        </w:tc>
        <w:tc>
          <w:tcPr>
            <w:tcW w:w="18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Altus</w:t>
            </w:r>
          </w:p>
        </w:tc>
        <w:tc>
          <w:tcPr>
            <w:tcW w:w="12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Air Force</w:t>
            </w:r>
          </w:p>
        </w:tc>
        <w:tc>
          <w:tcPr>
            <w:tcW w:w="22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Contact base operator</w:t>
            </w:r>
          </w:p>
        </w:tc>
        <w:tc>
          <w:tcPr>
            <w:tcW w:w="26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Pass and ID Office: (580) 481-6340. Valid ID required. Mon-Fri 0600-1700.</w:t>
            </w:r>
          </w:p>
        </w:tc>
      </w:tr>
      <w:tr>
        <w:tc>
          <w:tcPr>
            <w:tcW w:w="18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Vance AFB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Enid</w:t>
            </w:r>
          </w:p>
        </w:tc>
        <w:tc>
          <w:tcPr>
            <w:tcW w:w="12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Air Force</w:t>
            </w:r>
          </w:p>
        </w:tc>
        <w:tc>
          <w:tcPr>
            <w:tcW w:w="22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(580) 213-7404</w:t>
            </w:r>
          </w:p>
        </w:tc>
        <w:tc>
          <w:tcPr>
            <w:tcW w:w="26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Building 500, 246 Brown Parkway. Call ahead for visitor procedures.</w:t>
            </w:r>
          </w:p>
        </w:tc>
      </w:tr>
      <w:tr>
        <w:tc>
          <w:tcPr>
            <w:tcW w:w="18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McAlester Army Ammo Plant</w:t>
            </w:r>
          </w:p>
        </w:tc>
        <w:tc>
          <w:tcPr>
            <w:tcW w:w="18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McAlester</w:t>
            </w:r>
          </w:p>
        </w:tc>
        <w:tc>
          <w:tcPr>
            <w:tcW w:w="12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Army</w:t>
            </w:r>
          </w:p>
        </w:tc>
        <w:tc>
          <w:tcPr>
            <w:tcW w:w="22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918-420-6439</w:t>
            </w:r>
          </w:p>
        </w:tc>
        <w:tc>
          <w:tcPr>
            <w:tcW w:w="26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Base operator: 918-420-6591. Weapons facility -- access restricted. Call PAO first.</w:t>
            </w:r>
          </w:p>
        </w:tc>
      </w:tr>
    </w:tbl>
    <w:p>
      <w:pPr>
        <w:spacing w:before="160"/>
      </w:pPr>
    </w:p>
    <w:p>
      <w:r>
        <w:rPr>
          <w:i/>
          <w:color w:val="4a4a4a"/>
          <w:sz w:val="20"/>
        </w:rPr>
        <w:t>Note: Verify all phone numbers with the court before relying on them. Base policies change frequently.</w:t>
      </w:r>
    </w:p>
    <w:p>
      <w:pPr>
        <w:sectPr>
          <w:headerReference w:type="default" r:id="R23f0bd68501e4bf0"/>
          <w:footerReference w:type="default" r:id="R314470db47054605"/>
          <w:type w:val="nextPage"/>
          <w:pgSz w:w="12240" w:h="15840"/>
          <w:pgMar w:top="1440" w:right="1440" w:bottom="1440" w:left="1440" w:header="720" w:footer="720"/>
        </w:sectPr>
      </w:pPr>
    </w:p>
    <w:p>
      <w:pPr>
        <w:pStyle w:val="Heading1"/>
      </w:pPr>
      <w:r>
        <w:t>Servicemembers Civil Relief Act (SCRA) Requirements</w:t>
      </w:r>
    </w:p>
    <w:p>
      <w:r>
        <w:t>The SCRA is a federal law. It applies in all Oklahoma courts. The law protects active-duty service members in civil legal matters. You must follow these rules before taking action against a service member.</w:t>
      </w:r>
    </w:p>
    <w:p>
      <w:pPr>
        <w:spacing w:before="200"/>
      </w:pP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2600"/>
        <w:gridCol w:w="2000"/>
        <w:gridCol w:w="5000"/>
      </w:tblGrid>
      <w:tr>
        <w:trPr>
          <w:tblHeader/>
        </w:trPr>
        <w:tc>
          <w:tcPr>
            <w:tcW w:w="26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Requirement</w:t>
            </w:r>
          </w:p>
        </w:tc>
        <w:tc>
          <w:tcPr>
            <w:tcW w:w="20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Statute</w:t>
            </w:r>
          </w:p>
        </w:tc>
        <w:tc>
          <w:tcPr>
            <w:tcW w:w="50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What It Means</w:t>
            </w:r>
          </w:p>
        </w:tc>
      </w:tr>
      <w:tr>
        <w:tc>
          <w:tcPr>
            <w:tcW w:w="26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Military affidavit required before default judgment</w:t>
            </w:r>
          </w:p>
        </w:tc>
        <w:tc>
          <w:tcPr>
            <w:tcW w:w="20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50 U.S.C. § 3931</w:t>
            </w:r>
          </w:p>
        </w:tc>
        <w:tc>
          <w:tcPr>
            <w:tcW w:w="50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You must file a sworn statement confirming the defendant's military status before the court can enter a default judgment.</w:t>
            </w:r>
          </w:p>
        </w:tc>
      </w:tr>
      <w:tr>
        <w:tc>
          <w:tcPr>
            <w:tcW w:w="26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90-day stay of proceedings</w:t>
            </w:r>
          </w:p>
        </w:tc>
        <w:tc>
          <w:tcPr>
            <w:tcW w:w="20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§ 3931(d)</w:t>
            </w:r>
          </w:p>
        </w:tc>
        <w:tc>
          <w:tcPr>
            <w:tcW w:w="50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A court must pause the case for at least 90 days if the defendant is on active duty and their ability to appear is affected by military service.</w:t>
            </w:r>
          </w:p>
        </w:tc>
      </w:tr>
      <w:tr>
        <w:tc>
          <w:tcPr>
            <w:tcW w:w="26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Court must appoint attorney</w:t>
            </w:r>
          </w:p>
        </w:tc>
        <w:tc>
          <w:tcPr>
            <w:tcW w:w="20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§ 3931(b)(2)</w:t>
            </w:r>
          </w:p>
        </w:tc>
        <w:tc>
          <w:tcPr>
            <w:tcW w:w="50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When a defendant cannot appear due to military service, the court must appoint an attorney to represent their interests.</w:t>
            </w:r>
          </w:p>
        </w:tc>
      </w:tr>
      <w:tr>
        <w:tc>
          <w:tcPr>
            <w:tcW w:w="26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Reopening default judgments</w:t>
            </w:r>
          </w:p>
        </w:tc>
        <w:tc>
          <w:tcPr>
            <w:tcW w:w="20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§ 3931(g)</w:t>
            </w:r>
          </w:p>
        </w:tc>
        <w:tc>
          <w:tcPr>
            <w:tcW w:w="50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A service member may ask the court to reopen a default judgment entered while they were on active duty, within 90 days of release from service.</w:t>
            </w:r>
          </w:p>
        </w:tc>
      </w:tr>
    </w:tbl>
    <w:p>
      <w:pPr>
        <w:spacing w:before="300"/>
      </w:pPr>
    </w:p>
    <w:p>
      <w:pPr>
        <w:pStyle w:val="Heading1"/>
      </w:pPr>
      <w:r>
        <w:t>DMDC Military Status Verification</w:t>
      </w:r>
    </w:p>
    <w:p>
      <w:r>
        <w:t>Before filing any case involving a service member, verify their military status. The Department of Defense provides a free online tool for this purpose.</w:t>
      </w:r>
    </w:p>
    <w:p>
      <w:pPr>
        <w:spacing w:before="200"/>
      </w:pP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2400"/>
        <w:gridCol w:w="7200"/>
      </w:tblGrid>
      <w:tr>
        <w:trPr>
          <w:tblHeader/>
        </w:trPr>
        <w:tc>
          <w:tcPr>
            <w:tcW w:w="24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72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w="24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Website</w:t>
            </w:r>
          </w:p>
        </w:tc>
        <w:tc>
          <w:tcPr>
            <w:tcW w:w="72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https://scra.dmdc.osd.mil</w:t>
            </w:r>
          </w:p>
        </w:tc>
      </w:tr>
      <w:tr>
        <w:tc>
          <w:tcPr>
            <w:tcW w:w="24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What you need</w:t>
            </w:r>
          </w:p>
        </w:tc>
        <w:tc>
          <w:tcPr>
            <w:tcW w:w="72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Social Security Number and last name of the service member</w:t>
            </w:r>
          </w:p>
        </w:tc>
      </w:tr>
      <w:tr>
        <w:tc>
          <w:tcPr>
            <w:tcW w:w="24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Cost</w:t>
            </w:r>
          </w:p>
        </w:tc>
        <w:tc>
          <w:tcPr>
            <w:tcW w:w="72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Free -- no fee for status verification</w:t>
            </w:r>
          </w:p>
        </w:tc>
      </w:tr>
      <w:tr>
        <w:tc>
          <w:tcPr>
            <w:tcW w:w="24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Alternative method</w:t>
            </w:r>
          </w:p>
        </w:tc>
        <w:tc>
          <w:tcPr>
            <w:tcW w:w="72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Contact the Department of Defense manually for verification if online access is not available</w:t>
            </w:r>
          </w:p>
        </w:tc>
      </w:tr>
      <w:tr>
        <w:tc>
          <w:tcPr>
            <w:tcW w:w="24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Best practice</w:t>
            </w:r>
          </w:p>
        </w:tc>
        <w:tc>
          <w:tcPr>
            <w:tcW w:w="72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Print and save the verification report for your court file</w:t>
            </w:r>
          </w:p>
        </w:tc>
      </w:tr>
    </w:tbl>
    <w:p>
      <w:pPr>
        <w:sectPr>
          <w:headerReference w:type="default" r:id="R23f0bd68501e4bf0"/>
          <w:footerReference w:type="default" r:id="R314470db47054605"/>
          <w:type w:val="nextPage"/>
          <w:pgSz w:w="12240" w:h="15840"/>
          <w:pgMar w:top="1440" w:right="1440" w:bottom="1440" w:left="1440" w:header="720" w:footer="720"/>
        </w:sectPr>
      </w:pPr>
    </w:p>
    <w:p>
      <w:pPr>
        <w:pStyle w:val="Heading1"/>
      </w:pPr>
      <w:r>
        <w:t>Serving on Base: Step-by-Step Checklist</w:t>
      </w:r>
    </w:p>
    <w:p>
      <w:r>
        <w:t>Follow this checklist every time you need to serve process on a military installation in Oklahoma. Each step helps ensure lawful and effective service.</w:t>
      </w:r>
    </w:p>
    <w:p>
      <w:pPr>
        <w:spacing w:before="200"/>
      </w:pPr>
    </w:p>
    <w:p>
      <w:pPr>
        <w:spacing w:before="60" w:after="60"/>
        <w:ind w:left="360" w:hanging="360"/>
      </w:pPr>
      <w:r>
        <w:t>☐ Verify military status via DMDC at https://scra.dmdc.osd.mil before proceeding</w:t>
      </w:r>
    </w:p>
    <w:p>
      <w:pPr>
        <w:spacing w:before="60" w:after="60"/>
        <w:ind w:left="360" w:hanging="360"/>
      </w:pPr>
      <w:r>
        <w:t>☐ Contact the base JAG office for guidance on service procedures</w:t>
      </w:r>
    </w:p>
    <w:p>
      <w:pPr>
        <w:spacing w:before="60" w:after="60"/>
        <w:ind w:left="360" w:hanging="360"/>
      </w:pPr>
      <w:r>
        <w:t>☐ Check base visitor requirements and complete any required forms</w:t>
      </w:r>
    </w:p>
    <w:p>
      <w:pPr>
        <w:spacing w:before="60" w:after="60"/>
        <w:ind w:left="360" w:hanging="360"/>
      </w:pPr>
      <w:r>
        <w:t>☐ Coordinate with military police or security forces before arriving</w:t>
      </w:r>
    </w:p>
    <w:p>
      <w:pPr>
        <w:spacing w:before="60" w:after="60"/>
        <w:ind w:left="360" w:hanging="360"/>
      </w:pPr>
      <w:r>
        <w:t>☐ File a military affidavit with the court before requesting default judgment</w:t>
      </w:r>
    </w:p>
    <w:p>
      <w:pPr>
        <w:spacing w:before="60" w:after="60"/>
        <w:ind w:left="360" w:hanging="360"/>
      </w:pPr>
      <w:r>
        <w:t>☐ Allow extra time for on-base service -- security checks may cause delays</w:t>
      </w:r>
    </w:p>
    <w:p>
      <w:pPr>
        <w:spacing w:before="60" w:after="60"/>
        <w:ind w:left="360" w:hanging="360"/>
      </w:pPr>
      <w:r>
        <w:t>☐ Consider requesting an SCRA stay if the defendant is deployed</w:t>
      </w:r>
    </w:p>
    <w:p>
      <w:pPr>
        <w:spacing w:before="300"/>
      </w:pPr>
    </w:p>
    <w:p>
      <w:pPr>
        <w:pStyle w:val="Heading1"/>
      </w:pPr>
      <w:r>
        <w:t>Special Considerations</w:t>
      </w:r>
    </w:p>
    <w:p>
      <w:r>
        <w:t>Different situations require different approaches. Use this table to determine the right steps for your case.</w:t>
      </w:r>
    </w:p>
    <w:p>
      <w:pPr>
        <w:spacing w:before="200"/>
      </w:pP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4000"/>
        <w:gridCol w:w="5600"/>
      </w:tblGrid>
      <w:tr>
        <w:trPr>
          <w:tblHeader/>
        </w:trPr>
        <w:tc>
          <w:tcPr>
            <w:tcW w:w="40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Situation</w:t>
            </w:r>
          </w:p>
        </w:tc>
        <w:tc>
          <w:tcPr>
            <w:tcW w:w="5600" w:type="dxa"/>
            <w:shd w:val="clear" w:fill="1a2744"/>
          </w:tcPr>
          <w:p>
            <w:pPr>
              <w:spacing w:before="60" w:after="60"/>
            </w:pPr>
            <w:r>
              <w:rPr>
                <w:b/>
                <w:color w:val="FFFFFF"/>
                <w:sz w:val="20"/>
              </w:rPr>
              <w:t>Action Required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Service member is deployed</w:t>
            </w:r>
          </w:p>
        </w:tc>
        <w:tc>
          <w:tcPr>
            <w:tcW w:w="56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Request an SCRA stay. Do not attempt service until they return or the stay is lifted.</w:t>
            </w:r>
          </w:p>
        </w:tc>
      </w:tr>
      <w:tr>
        <w:tc>
          <w:tcPr>
            <w:tcW w:w="40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Service member lives on base</w:t>
            </w:r>
          </w:p>
        </w:tc>
        <w:tc>
          <w:tcPr>
            <w:tcW w:w="56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Coordinate with base authorities. You may need an escort. Follow all visitor rules.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Service member lives off base</w:t>
            </w:r>
          </w:p>
        </w:tc>
        <w:tc>
          <w:tcPr>
            <w:tcW w:w="56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Standard service methods apply. No special base access needed.</w:t>
            </w:r>
          </w:p>
        </w:tc>
      </w:tr>
      <w:tr>
        <w:tc>
          <w:tcPr>
            <w:tcW w:w="40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Military status is unknown</w:t>
            </w:r>
          </w:p>
        </w:tc>
        <w:tc>
          <w:tcPr>
            <w:tcW w:w="56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Run a DMDC check before proceeding. File the results with the court.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Service member is on active duty training only</w:t>
            </w:r>
          </w:p>
        </w:tc>
        <w:tc>
          <w:tcPr>
            <w:tcW w:w="5600" w:type="dxa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Verify length of orders. SCRA protections may still apply. Consult the court.</w:t>
            </w:r>
          </w:p>
        </w:tc>
      </w:tr>
      <w:tr>
        <w:tc>
          <w:tcPr>
            <w:tcW w:w="40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Base denies entry for service</w:t>
            </w:r>
          </w:p>
        </w:tc>
        <w:tc>
          <w:tcPr>
            <w:tcW w:w="5600" w:type="dxa"/>
            <w:shd w:val="clear" w:fill="f5f5f5"/>
          </w:tcPr>
          <w:p>
            <w:pPr>
              <w:spacing w:before="40" w:after="40"/>
            </w:pPr>
            <w:r>
              <w:rPr>
                <w:color w:val="1a1a1a"/>
                <w:sz w:val="20"/>
              </w:rPr>
              <w:t xml:space="preserve">Contact the JAG office. Alternative service methods may be available.</w:t>
            </w:r>
          </w:p>
        </w:tc>
      </w:tr>
    </w:tbl>
    <w:p>
      <w:pPr>
        <w:sectPr>
          <w:headerReference w:type="default" r:id="R23f0bd68501e4bf0"/>
          <w:footerReference w:type="default" r:id="R314470db47054605"/>
          <w:type w:val="nextPage"/>
          <w:pgSz w:w="12240" w:h="15840"/>
          <w:pgMar w:top="1440" w:right="1440" w:bottom="1440" w:left="1440" w:header="720" w:footer="720"/>
        </w:sectPr>
      </w:pPr>
    </w:p>
    <w:p>
      <w:pPr>
        <w:pStyle w:val="Heading1"/>
      </w:pPr>
      <w:r>
        <w:t>Important Reminders</w:t>
      </w:r>
    </w:p>
    <w:p>
      <w:pPr>
        <w:pStyle w:val="Heading2"/>
      </w:pPr>
      <w:r>
        <w:t>Before You Serve</w:t>
      </w:r>
    </w:p>
    <w:p>
      <w:r>
        <w:t>Always call the base before you visit. Each base has its own security rules. Bring valid photo identification. Be prepared for vehicle searches. Allow extra time for security screening.</w:t>
      </w:r>
    </w:p>
    <w:p>
      <w:pPr>
        <w:pStyle w:val="Heading2"/>
      </w:pPr>
      <w:r>
        <w:t>What to Bring</w:t>
      </w:r>
    </w:p>
    <w:p>
      <w:pPr>
        <w:spacing w:before="60" w:after="60"/>
        <w:ind w:left="360" w:hanging="360"/>
      </w:pPr>
      <w:r>
        <w:t>☐ Valid government-issued photo ID</w:t>
      </w:r>
    </w:p>
    <w:p>
      <w:pPr>
        <w:spacing w:before="60" w:after="60"/>
        <w:ind w:left="360" w:hanging="360"/>
      </w:pPr>
      <w:r>
        <w:t>☐ Copy of the papers you need to serve</w:t>
      </w:r>
    </w:p>
    <w:p>
      <w:pPr>
        <w:spacing w:before="60" w:after="60"/>
        <w:ind w:left="360" w:hanging="360"/>
      </w:pPr>
      <w:r>
        <w:t>☐ Proof of DMDC military status verification</w:t>
      </w:r>
    </w:p>
    <w:p>
      <w:pPr>
        <w:spacing w:before="60" w:after="60"/>
        <w:ind w:left="360" w:hanging="360"/>
      </w:pPr>
      <w:r>
        <w:t>☐ Court-issued service authorization (if required)</w:t>
      </w:r>
    </w:p>
    <w:p>
      <w:pPr>
        <w:spacing w:before="60" w:after="60"/>
        <w:ind w:left="360" w:hanging="360"/>
      </w:pPr>
      <w:r>
        <w:t>☐ Completed base visitor forms (if required by the installation)</w:t>
      </w:r>
    </w:p>
    <w:p>
      <w:pPr>
        <w:pStyle w:val="Heading2"/>
      </w:pPr>
      <w:r>
        <w:t>Key Phone Numbers</w:t>
      </w:r>
    </w:p>
    <w:p>
      <w:r>
        <w:t>Fort Sill JAG: (580) 442-5058 | Tinker AFB JAG: (405) 739-5811 | Vance AFB JAG: (580) 213-7404</w:t>
      </w:r>
    </w:p>
    <w:p>
      <w:r>
        <w:t>Altus AFB Pass &amp; ID: (580) 481-6340 | McAlester AAP: 918-420-6591 (base operator)</w:t>
      </w:r>
    </w:p>
    <w:p>
      <w:pPr>
        <w:pStyle w:val="Heading2"/>
      </w:pPr>
      <w:r>
        <w:t>Next Review</w:t>
      </w:r>
    </w:p>
    <w:p>
      <w:r>
        <w:t>This guide will be reviewed on October 20, 2026. Base contact information and policies change regularly. Verify all details with the installation before visiting.</w:t>
      </w:r>
    </w:p>
    <w:p>
      <w:pPr>
        <w:spacing w:before="400"/>
      </w:pPr>
    </w:p>
    <w:p>
      <w:pPr>
        <w:spacing w:after="200"/>
        <w:jc w:val="center"/>
      </w:pPr>
      <w:r>
        <w:rPr>
          <w:color w:val="d4a017"/>
        </w:rPr>
        <w:t>────────────────────</w:t>
      </w:r>
    </w:p>
    <w:p>
      <w:pPr>
        <w:shd w:val="clear" w:fill="f8f8f8"/>
        <w:spacing w:before="200" w:after="200"/>
        <w:ind w:left="200" w:right="200"/>
      </w:pPr>
      <w:r>
        <w:rPr>
          <w:b/>
          <w:color w:val="1a2744"/>
          <w:sz w:val="20"/>
        </w:rPr>
        <w:t>Disclaimer</w:t>
      </w:r>
    </w:p>
    <w:p>
      <w:pPr>
        <w:shd w:val="clear" w:fill="f8f8f8"/>
        <w:spacing w:after="200"/>
        <w:ind w:left="200" w:right="200"/>
      </w:pPr>
      <w:r>
        <w:rPr>
          <w:color w:val="4a4a4a"/>
          <w:sz w:val="20"/>
        </w:rPr>
        <w:t>Not a law firm. This document provides procedural information only. It is not legal advice. Verify all contact information and policies with the military installation or court before relying on this information.</w:t>
      </w:r>
    </w:p>
    <w:p>
      <w:pPr>
        <w:shd w:val="clear" w:fill="f8f8f8"/>
        <w:ind w:left="200" w:right="200"/>
      </w:pPr>
      <w:r>
        <w:rPr>
          <w:color w:val="888888"/>
          <w:sz w:val="18"/>
        </w:rPr>
        <w:t xml:space="preserve">Just Legal Solutions  ·  (539) 367-6832  ·  info@JustLegalSolutions.org  ·  justlegalsolutions.org</w:t>
      </w:r>
    </w:p>
    <w:p>
      <w:pPr>
        <w:shd w:val="clear" w:fill="f8f8f8"/>
        <w:ind w:left="200" w:right="200"/>
      </w:pPr>
      <w:r>
        <w:rPr>
          <w:color w:val="888888"/>
          <w:sz w:val="18"/>
        </w:rPr>
        <w:t xml:space="preserve">Joseph Iannazzi, NAPPS #14801  ·  v1.0  ·  2026-04-20</w:t>
      </w:r>
    </w:p>
    <w:sectPr>
      <w:headerReference w:type="default" r:id="R23f0bd68501e4bf0"/>
      <w:footerReference w:type="default" r:id="R314470db47054605"/>
      <w:pgSz w:w="12240" w:h="15840"/>
      <w:pgMar w:top="1440" w:right="1440" w:bottom="1440" w:left="1440" w:header="720" w:footer="720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8"/>
      </w:rPr>
      <w:t xml:space="preserve">Page </w:t>
    </w:r>
    <w:r>
      <w:rPr>
        <w:color w:val="888888"/>
        <w:sz w:val="18"/>
      </w:rPr>
      <w:fldChar w:fldCharType="begin"/>
    </w:r>
    <w:r>
      <w:rPr>
        <w:color w:val="888888"/>
        <w:sz w:val="18"/>
      </w:rPr>
      <w:instrText xml:space="preserve"> PAGE </w:instrText>
    </w:r>
    <w:r>
      <w:rPr>
        <w:color w:val="888888"/>
        <w:sz w:val="18"/>
      </w:rPr>
      <w:fldChar w:fldCharType="separate"/>
    </w:r>
    <w:r>
      <w:rPr>
        <w:color w:val="888888"/>
        <w:sz w:val="18"/>
      </w:rPr>
      <w:t>1</w:t>
    </w:r>
    <w:r>
      <w:rPr>
        <w:color w:val="888888"/>
        <w:sz w:val="18"/>
      </w:rPr>
      <w:fldChar w:fldCharType="end"/>
    </w:r>
    <w:r>
      <w:rPr>
        <w:color w:val="888888"/>
        <w:sz w:val="18"/>
      </w:rPr>
      <w:t xml:space="preserve"> of </w:t>
    </w:r>
    <w:r>
      <w:rPr>
        <w:color w:val="888888"/>
        <w:sz w:val="18"/>
      </w:rPr>
      <w:fldChar w:fldCharType="begin"/>
    </w:r>
    <w:r>
      <w:rPr>
        <w:color w:val="888888"/>
        <w:sz w:val="18"/>
      </w:rPr>
      <w:instrText xml:space="preserve"> NUMPAGES </w:instrText>
    </w:r>
    <w:r>
      <w:rPr>
        <w:color w:val="888888"/>
        <w:sz w:val="18"/>
      </w:rPr>
      <w:fldChar w:fldCharType="separate"/>
    </w:r>
    <w:r>
      <w:rPr>
        <w:color w:val="888888"/>
        <w:sz w:val="18"/>
      </w:rPr>
      <w:t>1</w:t>
    </w:r>
    <w:r>
      <w:rPr>
        <w:color w:val="888888"/>
        <w:sz w:val="18"/>
      </w:rPr>
      <w:fldChar w:fldCharType="end"/>
    </w:r>
  </w:p>
  <w:p>
    <w:pPr>
      <w:jc w:val="center"/>
    </w:pPr>
    <w:r>
      <w:rPr>
        <w:color w:val="888888"/>
        <w:sz w:val="16"/>
      </w:rPr>
      <w:t xml:space="preserve">Just Legal Solutions  ·  (539) 367-6832  ·  info@JustLegalSolutions.org  ·  justlegalsolutions.org</w:t>
    </w:r>
  </w:p>
  <w:p>
    <w:pPr>
      <w:jc w:val="center"/>
    </w:pPr>
    <w:r>
      <w:rPr>
        <w:color w:val="888888"/>
        <w:sz w:val="16"/>
      </w:rPr>
      <w:t xml:space="preserve">Joseph Iannazzi, NAPPS #14801</w:t>
    </w:r>
  </w:p>
  <w:p>
    <w:pPr>
      <w:jc w:val="center"/>
    </w:pPr>
    <w:r>
      <w:rPr>
        <w:color w:val="888888"/>
        <w:sz w:val="14"/>
      </w:rPr>
      <w:t xml:space="preserve">v1.0  ·  2026-04-20  ·  Verify before relying on procedural details</w:t>
    </w:r>
  </w:p>
</w:ftr>
</file>

<file path=word/header1.xml><?xml version="1.0" encoding="utf-8"?>
<w:hdr xmlns:w="http://schemas.openxmlformats.org/wordprocessingml/2006/main">
  <w:p>
    <w:pPr>
      <w:jc w:val="right"/>
    </w:pPr>
    <w:r>
      <w:drawing>
        <wp:inline xmlns:wp="http://schemas.openxmlformats.org/drawingml/2006/wordprocessingDrawing">
          <wp:extent cx="1080000" cy="324000"/>
          <wp:effectExtent l="0" t="0" r="0" b="0"/>
          <wp:docPr id="1" name="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Logo.png"/>
                  <pic:cNvPicPr/>
                </pic:nvPicPr>
                <pic:blipFill>
                  <a:blip xmlns:r="http://schemas.openxmlformats.org/officeDocument/2006/relationships" r:embed="Rbabdf8917fff421c"/>
                  <a:stretch>
                    <a:fillRect/>
                  </a:stretch>
                </pic:blipFill>
                <pic:spPr>
                  <a:xfrm>
                    <a:off x="0" y="0"/>
                    <a:ext cx="1080000" cy="324000"/>
                  </a:xfrm>
                  <a:prstGeom prst="rect"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200" w:line="276" w:lineRule="auto"/>
    </w:pPr>
    <w:rPr>
      <w:rFonts w:ascii="Calibri" w:hAnsi="Calibri" w:eastAsia="Calibri"/>
      <w:color w:val="1a1a1a"/>
      <w:sz w:val="24"/>
    </w:rPr>
  </w:style>
  <w:style w:type="paragraph" w:styleId="Heading1">
    <w:name w:val="heading 1"/>
    <w:basedOn w:val="Normal"/>
    <w:pPr>
      <w:keepNext/>
      <w:keepLines/>
      <w:spacing w:before="400" w:after="200"/>
      <w:outlineLvl w:val="0"/>
    </w:pPr>
    <w:rPr>
      <w:rFonts w:ascii="Calibri" w:hAnsi="Calibri"/>
      <w:b/>
      <w:color w:val="1a2744"/>
      <w:sz w:val="32"/>
    </w:rPr>
  </w:style>
  <w:style w:type="paragraph" w:styleId="Heading2">
    <w:name w:val="heading 2"/>
    <w:basedOn w:val="Normal"/>
    <w:pPr>
      <w:keepNext/>
      <w:keepLines/>
      <w:spacing w:before="300" w:after="120"/>
      <w:outlineLvl w:val="1"/>
    </w:pPr>
    <w:rPr>
      <w:rFonts w:ascii="Calibri" w:hAnsi="Calibri"/>
      <w:b/>
      <w:color w:val="1a2744"/>
      <w:sz w:val="26"/>
    </w:rPr>
  </w:style>
  <w:style w:type="paragraph" w:styleId="Heading3">
    <w:name w:val="heading 3"/>
    <w:basedOn w:val="Normal"/>
    <w:pPr>
      <w:keepNext/>
      <w:keepLines/>
      <w:spacing w:before="240" w:after="80"/>
      <w:outlineLvl w:val="2"/>
    </w:pPr>
    <w:rPr>
      <w:rFonts w:ascii="Calibri" w:hAnsi="Calibri"/>
      <w:b/>
      <w:color w:val="4a4a4a"/>
      <w:sz w:val="24"/>
    </w:rPr>
  </w:style>
  <w:style w:type="paragraph" w:styleId="TOC1">
    <w:name w:val="toc 1"/>
    <w:basedOn w:val="Normal"/>
    <w:pPr>
      <w:tabs>
        <w:tab w:val="right" w:leader="dot" w:pos="9350"/>
      </w:tabs>
      <w:spacing w:before="120" w:after="60"/>
    </w:pPr>
    <w:rPr>
      <w:b/>
      <w:color w:val="1a1a1a"/>
    </w:rPr>
  </w:style>
  <w:style w:type="paragraph" w:styleId="TOC2">
    <w:name w:val="toc 2"/>
    <w:basedOn w:val="Normal"/>
    <w:pPr>
      <w:tabs>
        <w:tab w:val="right" w:leader="dot" w:pos="9350"/>
      </w:tabs>
      <w:spacing w:before="60" w:after="40"/>
      <w:ind w:left="360"/>
    </w:pPr>
    <w:rPr>
      <w:color w:val="4a4a4a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83c78a4aed154f7e" /><Relationship Type="http://schemas.openxmlformats.org/officeDocument/2006/relationships/settings" Target="settings.xml" Id="R76c43a1a607d4875" /><Relationship Type="http://schemas.openxmlformats.org/officeDocument/2006/relationships/header" Target="header1.xml" Id="R23f0bd68501e4bf0" /><Relationship Type="http://schemas.openxmlformats.org/officeDocument/2006/relationships/footer" Target="footer1.xml" Id="R314470db47054605" /></Relationships>
</file>

<file path=word/_rels/header1.xml.rels><?xml version='1.0' encoding='UTF-8'?>
<Relationships xmlns="http://schemas.openxmlformats.org/package/2006/relationships"><Relationship Type="http://schemas.openxmlformats.org/officeDocument/2006/relationships/image" Target="media/image.png" Id="Rbabdf8917fff421c" /></Relationships>
</file>