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Type="http://schemas.openxmlformats.org/officeDocument/2006/relationships/officeDocument" Target="word/document.xml" Id="R4ec9abb314674bd0"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pPr>
        <w:keepNext/>
        <w:spacing w:before="200" w:after="80"/>
        <w:jc w:val="center"/>
      </w:pPr>
      <w:r>
        <w:drawing>
          <wp:inline distT="0" distB="0" distL="0" distR="0">
            <wp:extent cx="2880000" cy="2880000"/>
            <wp:effectExtent l="0" t="0" r="0" b="0"/>
            <wp:docPr id="1" name="JLS Logo"/>
            <wp:cNvGraphicFramePr>
              <a:graphicFrameLocks noChangeAspect="1"/>
            </wp:cNvGraphicFramePr>
            <a:graphic>
              <a:graphicData uri="http://schemas.openxmlformats.org/drawingml/2006/picture">
                <pic:pic>
                  <pic:nvPicPr>
                    <pic:cNvPr id="0" name="JLS Logo.png"/>
                    <pic:cNvPicPr/>
                  </pic:nvPicPr>
                  <pic:blipFill>
                    <a:blip r:embed="R3474f750e1a446a6"/>
                    <a:stretch>
                      <a:fillRect/>
                    </a:stretch>
                  </pic:blipFill>
                  <pic:spPr>
                    <a:xfrm>
                      <a:off x="0" y="0"/>
                      <a:ext cx="2880000" cy="2880000"/>
                    </a:xfrm>
                    <a:prstGeom prst="rect"/>
                  </pic:spPr>
                </pic:pic>
              </a:graphicData>
            </a:graphic>
          </wp:inline>
        </w:drawing>
      </w:r>
    </w:p>
    <w:p>
      <w:pPr>
        <w:spacing w:before="2000"/>
      </w:pPr>
    </w:p>
    <w:p>
      <w:pPr>
        <w:spacing w:after="200"/>
        <w:jc w:val="center"/>
      </w:pPr>
      <w:r>
        <w:rPr>
          <w:rFonts w:ascii="Calibri" w:hAnsi="Calibri"/>
          <w:b/>
          <w:color w:val="1a2744"/>
          <w:sz w:val="72"/>
        </w:rPr>
        <w:t>How to Serve a</w:t>
      </w:r>
    </w:p>
    <w:p>
      <w:pPr>
        <w:spacing w:after="400"/>
        <w:jc w:val="center"/>
      </w:pPr>
      <w:r>
        <w:rPr>
          <w:rFonts w:ascii="Calibri" w:hAnsi="Calibri"/>
          <w:b/>
          <w:color w:val="1a2744"/>
          <w:sz w:val="72"/>
        </w:rPr>
        <w:t>Subpoena in Oklahoma</w:t>
      </w:r>
    </w:p>
    <w:p>
      <w:pPr>
        <w:spacing w:after="600"/>
        <w:jc w:val="center"/>
      </w:pPr>
      <w:r>
        <w:rPr>
          <w:rFonts w:ascii="Calibri" w:hAnsi="Calibri"/>
          <w:color w:val="d4a017"/>
          <w:sz w:val="28"/>
        </w:rPr>
        <w:t>A Step-by-Step Guide for Civil and Criminal Cases</w:t>
      </w:r>
    </w:p>
    <w:p>
      <w:pPr>
        <w:pBdr>
          <w:bottom w:val="single" w:color="d4a017" w:sz="12" w:space="1"/>
        </w:pBdr>
        <w:jc w:val="center"/>
      </w:pPr>
      <w:r/>
    </w:p>
    <w:p>
      <w:pPr>
        <w:spacing w:before="600"/>
      </w:pPr>
    </w:p>
    <w:p>
      <w:pPr>
        <w:spacing w:after="200"/>
        <w:jc w:val="center"/>
      </w:pPr>
      <w:r>
        <w:rPr>
          <w:rFonts w:ascii="Calibri" w:hAnsi="Calibri"/>
          <w:color w:val="555555"/>
          <w:sz w:val="24"/>
        </w:rPr>
        <w:t>Covers personal service, certified mail, witness fees,</w:t>
      </w:r>
    </w:p>
    <w:p>
      <w:pPr>
        <w:spacing w:after="200"/>
        <w:jc w:val="center"/>
      </w:pPr>
      <w:r>
        <w:rPr>
          <w:rFonts w:ascii="Calibri" w:hAnsi="Calibri"/>
          <w:color w:val="555555"/>
          <w:sz w:val="24"/>
        </w:rPr>
        <w:t>subpoena duces tecum, and out-of-state subpoenas via UIDDA</w:t>
      </w:r>
    </w:p>
    <w:p>
      <w:pPr>
        <w:spacing w:before="1500"/>
      </w:pPr>
    </w:p>
    <w:p>
      <w:pPr>
        <w:spacing w:after="80"/>
        <w:jc w:val="center"/>
      </w:pPr>
      <w:r>
        <w:rPr>
          <w:color w:val="777777"/>
          <w:sz w:val="20"/>
        </w:rPr>
        <w:t>Just Legal Solutions</w:t>
      </w:r>
    </w:p>
    <w:p>
      <w:pPr>
        <w:spacing w:after="80"/>
        <w:jc w:val="center"/>
      </w:pPr>
      <w:r>
        <w:rPr>
          <w:color w:val="777777"/>
          <w:sz w:val="20"/>
        </w:rPr>
        <w:t>(539) 367-6832  |  justlegalsolutions.org</w:t>
      </w:r>
    </w:p>
    <w:p>
      <w:pPr>
        <w:jc w:val="center"/>
      </w:pPr>
      <w:r>
        <w:rPr>
          <w:color w:val="777777"/>
          <w:sz w:val="20"/>
        </w:rPr>
        <w:t>v1.0  |  April 20, 2026</w:t>
      </w:r>
    </w:p>
    <w:p>
      <w:pPr>
        <w:sectPr>
          <w:type w:val="nextPage"/>
          <w:pgSz w:w="12240" w:h="15840"/>
          <w:pgMar w:top="1440" w:right="1440" w:bottom="1440" w:left="1440" w:header="720" w:footer="720"/>
          <w:titlePg/>
        </w:sectPr>
      </w:pPr>
    </w:p>
    <w:p>
      <w:pPr>
        <w:pStyle w:val="Heading1"/>
      </w:pPr>
      <w:r>
        <w:t>Table of Contents</w:t>
      </w:r>
    </w:p>
    <w:p>
      <w:pPr>
        <w:spacing w:after="200"/>
      </w:pPr>
      <w:r>
        <w:rPr>
          <w:color w:val="777777"/>
          <w:sz w:val="20"/>
        </w:rPr>
        <w:t>Right-click and select "Update Field" to refresh page numbers</w:t>
      </w:r>
    </w:p>
    <w:p>
      <w:r>
        <w:fldChar w:fldCharType="begin"/>
      </w:r>
      <w:r>
        <w:instrText xml:space="preserve"> TOC \o "1-2" \h \z \u </w:instrText>
      </w:r>
      <w:r>
        <w:fldChar w:fldCharType="separate"/>
      </w:r>
    </w:p>
    <w:p>
      <w:pPr>
        <w:pStyle w:val="TOC1"/>
      </w:pPr>
      <w:r>
        <w:t>What Is a Subpoena?</w:t>
      </w:r>
      <w:r>
        <w:tab/>
      </w:r>
      <w:r>
        <w:t>3</w:t>
      </w:r>
    </w:p>
    <w:p>
      <w:pPr>
        <w:pStyle w:val="TOC1"/>
      </w:pPr>
      <w:r>
        <w:t>Required Documents Checklist</w:t>
      </w:r>
      <w:r>
        <w:tab/>
      </w:r>
      <w:r>
        <w:t>4</w:t>
      </w:r>
    </w:p>
    <w:p>
      <w:pPr>
        <w:pStyle w:val="TOC1"/>
      </w:pPr>
      <w:r>
        <w:t>Service Methods Comparison</w:t>
      </w:r>
      <w:r>
        <w:tab/>
      </w:r>
      <w:r>
        <w:t>5</w:t>
      </w:r>
    </w:p>
    <w:p>
      <w:pPr>
        <w:pStyle w:val="TOC1"/>
      </w:pPr>
      <w:r>
        <w:t>Timeline and Deadlines</w:t>
      </w:r>
      <w:r>
        <w:tab/>
      </w:r>
      <w:r>
        <w:t>6</w:t>
      </w:r>
    </w:p>
    <w:p>
      <w:pPr>
        <w:pStyle w:val="TOC1"/>
      </w:pPr>
      <w:r>
        <w:t>Step-by-Step Procedure</w:t>
      </w:r>
      <w:r>
        <w:tab/>
      </w:r>
      <w:r>
        <w:t>7</w:t>
      </w:r>
    </w:p>
    <w:p>
      <w:pPr>
        <w:pStyle w:val="TOC1"/>
      </w:pPr>
      <w:r>
        <w:t>Subpoena Duces Tecum</w:t>
      </w:r>
      <w:r>
        <w:tab/>
      </w:r>
      <w:r>
        <w:t>8</w:t>
      </w:r>
    </w:p>
    <w:p>
      <w:pPr>
        <w:pStyle w:val="TOC1"/>
      </w:pPr>
      <w:r>
        <w:t>Out-of-State Subpoenas (UIDDA)</w:t>
      </w:r>
      <w:r>
        <w:tab/>
      </w:r>
      <w:r>
        <w:t>9</w:t>
      </w:r>
    </w:p>
    <w:p>
      <w:pPr>
        <w:pStyle w:val="TOC1"/>
      </w:pPr>
      <w:r>
        <w:t>Criminal Subpoenas</w:t>
      </w:r>
      <w:r>
        <w:tab/>
      </w:r>
      <w:r>
        <w:t>10</w:t>
      </w:r>
    </w:p>
    <w:p>
      <w:pPr>
        <w:pStyle w:val="TOC1"/>
      </w:pPr>
      <w:r>
        <w:t>Common Reasons Service Fails</w:t>
      </w:r>
      <w:r>
        <w:tab/>
      </w:r>
      <w:r>
        <w:t>11</w:t>
      </w:r>
    </w:p>
    <w:p>
      <w:pPr>
        <w:pStyle w:val="TOC1"/>
      </w:pPr>
      <w:r>
        <w:t>What to Do If Service Fails</w:t>
      </w:r>
      <w:r>
        <w:tab/>
      </w:r>
      <w:r>
        <w:t>12</w:t>
      </w:r>
    </w:p>
    <w:p>
      <w:r>
        <w:fldChar w:fldCharType="end"/>
      </w:r>
    </w:p>
    <w:p>
      <w:pPr>
        <w:sectPr>
          <w:type w:val="nextPage"/>
          <w:pgSz w:w="12240" w:h="15840"/>
          <w:pgMar w:top="1440" w:right="1440" w:bottom="1440" w:left="1440" w:header="720" w:footer="720"/>
        </w:sectPr>
      </w:pPr>
    </w:p>
    <w:p>
      <w:pPr>
        <w:pStyle w:val="Heading1"/>
      </w:pPr>
      <w:r>
        <w:t>What Is a Subpoena?</w:t>
      </w:r>
    </w:p>
    <w:p>
      <w:pPr>
        <w:spacing w:after="200" w:line="288" w:lineRule="auto"/>
      </w:pPr>
      <w:r>
        <w:rPr>
          <w:rFonts w:ascii="Calibri" w:hAnsi="Calibri"/>
          <w:color w:val="2d2d2d"/>
          <w:sz w:val="24"/>
        </w:rPr>
        <w:t>A subpoena is a court order that tells a person to do something. It may tell them to come to court to testify as a witness. Or it may tell them to bring papers or other items to court.</w:t>
      </w:r>
    </w:p>
    <w:p>
      <w:pPr>
        <w:spacing w:after="200" w:line="288" w:lineRule="auto"/>
      </w:pPr>
      <w:r>
        <w:rPr>
          <w:rFonts w:ascii="Calibri" w:hAnsi="Calibri"/>
          <w:color w:val="2d2d2d"/>
          <w:sz w:val="24"/>
        </w:rPr>
        <w:t>In Oklahoma, there are two main types of subpoenas:</w:t>
      </w:r>
    </w:p>
    <w:p>
      <w:pPr>
        <w:numPr>
          <w:ilvl w:val="0"/>
          <w:numId w:val="2"/>
        </w:numPr>
        <w:spacing w:after="120"/>
      </w:pPr>
      <w:r>
        <w:rPr>
          <w:rFonts w:ascii="Calibri" w:hAnsi="Calibri"/>
          <w:color w:val="2d2d2d"/>
          <w:sz w:val="24"/>
        </w:rPr>
        <w:t>Subpoena ad testificandum: Orders a person to come to court and testify as a witness.</w:t>
      </w:r>
    </w:p>
    <w:p>
      <w:pPr>
        <w:numPr>
          <w:ilvl w:val="0"/>
          <w:numId w:val="2"/>
        </w:numPr>
        <w:spacing w:after="120"/>
      </w:pPr>
      <w:r>
        <w:rPr>
          <w:rFonts w:ascii="Calibri" w:hAnsi="Calibri"/>
          <w:color w:val="2d2d2d"/>
          <w:sz w:val="24"/>
        </w:rPr>
        <w:t>Subpoena duces tecum: Orders a person to bring documents, records, or other items to court.</w:t>
      </w:r>
    </w:p>
    <w:p>
      <w:pPr>
        <w:spacing w:after="200" w:line="288" w:lineRule="auto"/>
      </w:pPr>
      <w:r>
        <w:rPr>
          <w:rFonts w:ascii="Calibri" w:hAnsi="Calibri"/>
          <w:color w:val="2d2d2d"/>
          <w:sz w:val="24"/>
        </w:rPr>
        <w:t>Subpoenas are used in both civil cases and criminal cases. A civil case is a dispute between people or businesses. A criminal case is when the state charges someone with a crime.</w:t>
      </w:r>
    </w:p>
    <w:p>
      <w:pPr>
        <w:spacing w:after="200" w:line="288" w:lineRule="auto"/>
      </w:pPr>
      <w:r>
        <w:rPr>
          <w:rFonts w:ascii="Calibri" w:hAnsi="Calibri"/>
          <w:color w:val="2d2d2d"/>
          <w:sz w:val="24"/>
        </w:rPr>
        <w:t>This guide explains how to serve a subpoena in Oklahoma. It covers who can serve, how to serve, what fees to pay, and what to do if service fails.</w:t>
      </w:r>
    </w:p>
    <w:p>
      <w:pPr>
        <w:pStyle w:val="Heading1"/>
      </w:pPr>
      <w:r>
        <w:t>Required Documents Checklist</w:t>
      </w:r>
    </w:p>
    <w:p>
      <w:pPr>
        <w:spacing w:after="200" w:line="288" w:lineRule="auto"/>
      </w:pPr>
      <w:r>
        <w:rPr>
          <w:rFonts w:ascii="Calibri" w:hAnsi="Calibri"/>
          <w:color w:val="2d2d2d"/>
          <w:sz w:val="24"/>
        </w:rPr>
        <w:t>Before you serve a subpoena, make sure you have all of these items ready. Use the checklist below to track your progress.</w:t>
      </w:r>
    </w:p>
    <w:tbl>
      <w:tblPr>
        <w:tblW w:w="5000" w:type="pct"/>
        <w:tblBorders>
          <w:top w:val="single" w:color="1a2744" w:sz="12"/>
          <w:left w:val="nil"/>
          <w:bottom w:val="single" w:color="1a2744" w:sz="12"/>
          <w:right w:val="nil"/>
          <w:insideH w:val="single" w:color="cccccc" w:sz="4"/>
          <w:insideV w:val="nil"/>
        </w:tblBorders>
      </w:tblPr>
      <w:tblGrid>
        <w:gridCol w:w="800"/>
        <w:gridCol w:w="4200"/>
        <w:gridCol w:w="4000"/>
      </w:tblGrid>
      <w:tr>
        <w:trPr>
          <w:tblHeader/>
        </w:trPr>
        <w:tc>
          <w:tcPr>
            <w:tcW w:w="800" w:type="dxa"/>
            <w:shd w:val="clear" w:fill="1a2744"/>
          </w:tcPr>
          <w:p>
            <w:pPr>
              <w:spacing w:before="80" w:after="80"/>
              <w:jc w:val="center"/>
            </w:pPr>
            <w:r>
              <w:rPr>
                <w:b/>
                <w:color w:val="ffffff"/>
                <w:sz w:val="22"/>
              </w:rPr>
              <w:t/>
            </w:r>
          </w:p>
        </w:tc>
        <w:tc>
          <w:tcPr>
            <w:tcW w:w="4200" w:type="dxa"/>
            <w:shd w:val="clear" w:fill="1a2744"/>
          </w:tcPr>
          <w:p>
            <w:pPr>
              <w:spacing w:before="80" w:after="80"/>
              <w:jc w:val="center"/>
            </w:pPr>
            <w:r>
              <w:rPr>
                <w:b/>
                <w:color w:val="ffffff"/>
                <w:sz w:val="22"/>
              </w:rPr>
              <w:t>Item</w:t>
            </w:r>
          </w:p>
        </w:tc>
        <w:tc>
          <w:tcPr>
            <w:tcW w:w="4000" w:type="dxa"/>
            <w:shd w:val="clear" w:fill="1a2744"/>
          </w:tcPr>
          <w:p>
            <w:pPr>
              <w:spacing w:before="80" w:after="80"/>
              <w:jc w:val="center"/>
            </w:pPr>
            <w:r>
              <w:rPr>
                <w:b/>
                <w:color w:val="ffffff"/>
                <w:sz w:val="22"/>
              </w:rPr>
              <w:t>Notes</w:t>
            </w:r>
          </w:p>
        </w:tc>
      </w:tr>
      <w:tr>
        <w:tc>
          <w:tcPr>
            <w:tcW w:w="800" w:type="dxa"/>
          </w:tcPr>
          <w:p>
            <w:pPr>
              <w:jc w:val="center"/>
            </w:pPr>
            <w:r>
              <w:rPr>
                <w:sz w:val="24"/>
              </w:rPr>
              <w:t>☐</w:t>
            </w:r>
          </w:p>
        </w:tc>
        <w:tc>
          <w:tcPr>
            <w:tcW w:w="4200" w:type="dxa"/>
          </w:tcPr>
          <w:p>
            <w:r>
              <w:rPr>
                <w:b/>
                <w:color w:val="2d2d2d"/>
                <w:sz w:val="22"/>
              </w:rPr>
              <w:t>Subpoena form (signed by clerk or attorney)</w:t>
            </w:r>
          </w:p>
        </w:tc>
        <w:tc>
          <w:tcPr>
            <w:tcW w:w="4000" w:type="dxa"/>
          </w:tcPr>
          <w:p>
            <w:r>
              <w:rPr>
                <w:color w:val="555555"/>
                <w:sz w:val="20"/>
              </w:rPr>
              <w:t>Must be properly issued before service</w:t>
            </w:r>
          </w:p>
        </w:tc>
      </w:tr>
      <w:tr>
        <w:tc>
          <w:tcPr>
            <w:tcW w:w="800" w:type="dxa"/>
          </w:tcPr>
          <w:p>
            <w:pPr>
              <w:jc w:val="center"/>
            </w:pPr>
            <w:r>
              <w:rPr>
                <w:sz w:val="24"/>
              </w:rPr>
              <w:t>☐</w:t>
            </w:r>
          </w:p>
        </w:tc>
        <w:tc>
          <w:tcPr>
            <w:tcW w:w="4200" w:type="dxa"/>
          </w:tcPr>
          <w:p>
            <w:r>
              <w:rPr>
                <w:b/>
                <w:color w:val="2d2d2d"/>
                <w:sz w:val="22"/>
              </w:rPr>
              <w:t>Witness fees for one day of attendance</w:t>
            </w:r>
          </w:p>
        </w:tc>
        <w:tc>
          <w:tcPr>
            <w:tcW w:w="4000" w:type="dxa"/>
          </w:tcPr>
          <w:p>
            <w:r>
              <w:rPr>
                <w:color w:val="555555"/>
                <w:sz w:val="20"/>
              </w:rPr>
              <w:t>Required by 12 O.S. 2004.1(B)</w:t>
            </w:r>
          </w:p>
        </w:tc>
      </w:tr>
      <w:tr>
        <w:tc>
          <w:tcPr>
            <w:tcW w:w="800" w:type="dxa"/>
          </w:tcPr>
          <w:p>
            <w:pPr>
              <w:jc w:val="center"/>
            </w:pPr>
            <w:r>
              <w:rPr>
                <w:sz w:val="24"/>
              </w:rPr>
              <w:t>☐</w:t>
            </w:r>
          </w:p>
        </w:tc>
        <w:tc>
          <w:tcPr>
            <w:tcW w:w="4200" w:type="dxa"/>
          </w:tcPr>
          <w:p>
            <w:r>
              <w:rPr>
                <w:b/>
                <w:color w:val="2d2d2d"/>
                <w:sz w:val="22"/>
              </w:rPr>
              <w:t>Mileage allowance</w:t>
            </w:r>
          </w:p>
        </w:tc>
        <w:tc>
          <w:tcPr>
            <w:tcW w:w="4000" w:type="dxa"/>
          </w:tcPr>
          <w:p>
            <w:r>
              <w:rPr>
                <w:color w:val="555555"/>
                <w:sz w:val="20"/>
              </w:rPr>
              <w:t>Pay for round trip from witness's home to court</w:t>
            </w:r>
          </w:p>
        </w:tc>
      </w:tr>
      <w:tr>
        <w:tc>
          <w:tcPr>
            <w:tcW w:w="800" w:type="dxa"/>
          </w:tcPr>
          <w:p>
            <w:pPr>
              <w:jc w:val="center"/>
            </w:pPr>
            <w:r>
              <w:rPr>
                <w:sz w:val="24"/>
              </w:rPr>
              <w:t>☐</w:t>
            </w:r>
          </w:p>
        </w:tc>
        <w:tc>
          <w:tcPr>
            <w:tcW w:w="4200" w:type="dxa"/>
          </w:tcPr>
          <w:p>
            <w:r>
              <w:rPr>
                <w:b/>
                <w:color w:val="2d2d2d"/>
                <w:sz w:val="22"/>
              </w:rPr>
              <w:t>Copy of subpoena for the person served</w:t>
            </w:r>
          </w:p>
        </w:tc>
        <w:tc>
          <w:tcPr>
            <w:tcW w:w="4000" w:type="dxa"/>
          </w:tcPr>
          <w:p>
            <w:r>
              <w:rPr>
                <w:color w:val="555555"/>
                <w:sz w:val="20"/>
              </w:rPr>
              <w:t>Give them their copy at time of service</w:t>
            </w:r>
          </w:p>
        </w:tc>
      </w:tr>
      <w:tr>
        <w:tc>
          <w:tcPr>
            <w:tcW w:w="800" w:type="dxa"/>
          </w:tcPr>
          <w:p>
            <w:pPr>
              <w:jc w:val="center"/>
            </w:pPr>
            <w:r>
              <w:rPr>
                <w:sz w:val="24"/>
              </w:rPr>
              <w:t>☐</w:t>
            </w:r>
          </w:p>
        </w:tc>
        <w:tc>
          <w:tcPr>
            <w:tcW w:w="4200" w:type="dxa"/>
          </w:tcPr>
          <w:p>
            <w:r>
              <w:rPr>
                <w:b/>
                <w:color w:val="2d2d2d"/>
                <w:sz w:val="22"/>
              </w:rPr>
              <w:t>Affidavit of Service form</w:t>
            </w:r>
          </w:p>
        </w:tc>
        <w:tc>
          <w:tcPr>
            <w:tcW w:w="4000" w:type="dxa"/>
          </w:tcPr>
          <w:p>
            <w:r>
              <w:rPr>
                <w:color w:val="555555"/>
                <w:sz w:val="20"/>
              </w:rPr>
              <w:t>File with court after service is complete</w:t>
            </w:r>
          </w:p>
        </w:tc>
      </w:tr>
      <w:tr>
        <w:tc>
          <w:tcPr>
            <w:tcW w:w="800" w:type="dxa"/>
          </w:tcPr>
          <w:p>
            <w:pPr>
              <w:jc w:val="center"/>
            </w:pPr>
            <w:r>
              <w:rPr>
                <w:sz w:val="24"/>
              </w:rPr>
              <w:t>☐</w:t>
            </w:r>
          </w:p>
        </w:tc>
        <w:tc>
          <w:tcPr>
            <w:tcW w:w="4200" w:type="dxa"/>
          </w:tcPr>
          <w:p>
            <w:r>
              <w:rPr>
                <w:b/>
                <w:color w:val="2d2d2d"/>
                <w:sz w:val="22"/>
              </w:rPr>
              <w:t>Return envelope (if mailing)</w:t>
            </w:r>
          </w:p>
        </w:tc>
        <w:tc>
          <w:tcPr>
            <w:tcW w:w="4000" w:type="dxa"/>
          </w:tcPr>
          <w:p>
            <w:r>
              <w:rPr>
                <w:color w:val="555555"/>
                <w:sz w:val="20"/>
              </w:rPr>
              <w:t>For certified mail with return receipt</w:t>
            </w:r>
          </w:p>
        </w:tc>
      </w:tr>
      <w:tr>
        <w:tc>
          <w:tcPr>
            <w:tcW w:w="800" w:type="dxa"/>
          </w:tcPr>
          <w:p>
            <w:pPr>
              <w:jc w:val="center"/>
            </w:pPr>
            <w:r>
              <w:rPr>
                <w:sz w:val="24"/>
              </w:rPr>
              <w:t>☐</w:t>
            </w:r>
          </w:p>
        </w:tc>
        <w:tc>
          <w:tcPr>
            <w:tcW w:w="4200" w:type="dxa"/>
          </w:tcPr>
          <w:p>
            <w:r>
              <w:rPr>
                <w:b/>
                <w:color w:val="2d2d2d"/>
                <w:sz w:val="22"/>
              </w:rPr>
              <w:t>Photo ID (if serving in person)</w:t>
            </w:r>
          </w:p>
        </w:tc>
        <w:tc>
          <w:tcPr>
            <w:tcW w:w="4000" w:type="dxa"/>
          </w:tcPr>
          <w:p>
            <w:r>
              <w:rPr>
                <w:color w:val="555555"/>
                <w:sz w:val="20"/>
              </w:rPr>
              <w:t>Any person age 18+ may serve</w:t>
            </w:r>
          </w:p>
        </w:tc>
      </w:tr>
      <w:tr>
        <w:tc>
          <w:tcPr>
            <w:tcW w:w="800" w:type="dxa"/>
          </w:tcPr>
          <w:p>
            <w:pPr>
              <w:jc w:val="center"/>
            </w:pPr>
            <w:r>
              <w:rPr>
                <w:sz w:val="24"/>
              </w:rPr>
              <w:t>☐</w:t>
            </w:r>
          </w:p>
        </w:tc>
        <w:tc>
          <w:tcPr>
            <w:tcW w:w="4200" w:type="dxa"/>
          </w:tcPr>
          <w:p>
            <w:r>
              <w:rPr>
                <w:b/>
                <w:color w:val="2d2d2d"/>
                <w:sz w:val="22"/>
              </w:rPr>
              <w:t>Out-of-state subpoena (if via UIDDA)</w:t>
            </w:r>
          </w:p>
        </w:tc>
        <w:tc>
          <w:tcPr>
            <w:tcW w:w="4000" w:type="dxa"/>
          </w:tcPr>
          <w:p>
            <w:r>
              <w:rPr>
                <w:color w:val="555555"/>
                <w:sz w:val="20"/>
              </w:rPr>
              <w:t>Submit foreign subpoena to Oklahoma clerk</w:t>
            </w:r>
          </w:p>
        </w:tc>
      </w:tr>
    </w:tbl>
    <w:p>
      <w:pPr>
        <w:spacing w:after="200" w:line="288" w:lineRule="auto"/>
      </w:pPr>
      <w:r>
        <w:rPr>
          <w:rFonts w:ascii="Calibri" w:hAnsi="Calibri"/>
          <w:color w:val="2d2d2d"/>
          <w:sz w:val="24"/>
        </w:rPr>
        <w:t>Note: Witness fees and mileage must be tendered (offered) at the time of service if the person's attendance is demanded. 12 O.S. 2004.1(B)(1).</w:t>
      </w:r>
    </w:p>
    <w:p>
      <w:pPr>
        <w:pStyle w:val="Heading1"/>
      </w:pPr>
      <w:r>
        <w:t>Service Methods Comparison</w:t>
      </w:r>
    </w:p>
    <w:p>
      <w:pPr>
        <w:spacing w:after="200" w:line="288" w:lineRule="auto"/>
      </w:pPr>
      <w:r>
        <w:rPr>
          <w:rFonts w:ascii="Calibri" w:hAnsi="Calibri"/>
          <w:color w:val="2d2d2d"/>
          <w:sz w:val="24"/>
        </w:rPr>
        <w:t>Oklahoma law allows several ways to serve a subpoena. Each method has different rules. Pick the one that works best for your case.</w:t>
      </w:r>
    </w:p>
    <w:tbl>
      <w:tblPr>
        <w:tblW w:w="5000" w:type="pct"/>
        <w:tblBorders>
          <w:top w:val="single" w:color="1a2744" w:sz="12"/>
          <w:left w:val="nil"/>
          <w:bottom w:val="single" w:color="1a2744" w:sz="12"/>
          <w:right w:val="nil"/>
          <w:insideH w:val="single" w:color="cccccc" w:sz="4"/>
          <w:insideV w:val="nil"/>
        </w:tblBorders>
      </w:tblPr>
      <w:tblGrid>
        <w:gridCol w:w="2200"/>
        <w:gridCol w:w="2600"/>
        <w:gridCol w:w="2600"/>
        <w:gridCol w:w="1600"/>
      </w:tblGrid>
      <w:tr>
        <w:trPr>
          <w:tblHeader/>
        </w:trPr>
        <w:tc>
          <w:tcPr>
            <w:tcW w:w="2200" w:type="dxa"/>
            <w:shd w:val="clear" w:fill="1a2744"/>
          </w:tcPr>
          <w:p>
            <w:pPr>
              <w:spacing w:before="80" w:after="80"/>
              <w:jc w:val="center"/>
            </w:pPr>
            <w:r>
              <w:rPr>
                <w:b/>
                <w:color w:val="ffffff"/>
                <w:sz w:val="22"/>
              </w:rPr>
              <w:t>Method</w:t>
            </w:r>
          </w:p>
        </w:tc>
        <w:tc>
          <w:tcPr>
            <w:tcW w:w="2600" w:type="dxa"/>
            <w:shd w:val="clear" w:fill="1a2744"/>
          </w:tcPr>
          <w:p>
            <w:pPr>
              <w:spacing w:before="80" w:after="80"/>
              <w:jc w:val="center"/>
            </w:pPr>
            <w:r>
              <w:rPr>
                <w:b/>
                <w:color w:val="ffffff"/>
                <w:sz w:val="22"/>
              </w:rPr>
              <w:t>How It Works</w:t>
            </w:r>
          </w:p>
        </w:tc>
        <w:tc>
          <w:tcPr>
            <w:tcW w:w="2600" w:type="dxa"/>
            <w:shd w:val="clear" w:fill="1a2744"/>
          </w:tcPr>
          <w:p>
            <w:pPr>
              <w:spacing w:before="80" w:after="80"/>
              <w:jc w:val="center"/>
            </w:pPr>
            <w:r>
              <w:rPr>
                <w:b/>
                <w:color w:val="ffffff"/>
                <w:sz w:val="22"/>
              </w:rPr>
              <w:t>Requirements</w:t>
            </w:r>
          </w:p>
        </w:tc>
        <w:tc>
          <w:tcPr>
            <w:tcW w:w="1600" w:type="dxa"/>
            <w:shd w:val="clear" w:fill="1a2744"/>
          </w:tcPr>
          <w:p>
            <w:pPr>
              <w:spacing w:before="80" w:after="80"/>
              <w:jc w:val="center"/>
            </w:pPr>
            <w:r>
              <w:rPr>
                <w:b/>
                <w:color w:val="ffffff"/>
                <w:sz w:val="22"/>
              </w:rPr>
              <w:t>Best For</w:t>
            </w:r>
          </w:p>
        </w:tc>
      </w:tr>
      <w:tr>
        <w:tc>
          <w:tcPr>
            <w:tcW w:w="2200" w:type="dxa"/>
          </w:tcPr>
          <w:p>
            <w:pPr>
              <w:spacing w:before="60" w:after="60"/>
              <w:jc w:val="left"/>
            </w:pPr>
            <w:r>
              <w:rPr>
                <w:color w:val="2d2d2d"/>
                <w:sz w:val="22"/>
              </w:rPr>
              <w:t>Personal Delivery</w:t>
            </w:r>
          </w:p>
        </w:tc>
        <w:tc>
          <w:tcPr>
            <w:tcW w:w="2600" w:type="dxa"/>
          </w:tcPr>
          <w:p>
            <w:pPr>
              <w:spacing w:before="60" w:after="60"/>
              <w:jc w:val="left"/>
            </w:pPr>
            <w:r>
              <w:rPr>
                <w:color w:val="2d2d2d"/>
                <w:sz w:val="22"/>
              </w:rPr>
              <w:t>Hand the subpoena copy directly to the witness</w:t>
            </w:r>
          </w:p>
        </w:tc>
        <w:tc>
          <w:tcPr>
            <w:tcW w:w="2600" w:type="dxa"/>
          </w:tcPr>
          <w:p>
            <w:pPr>
              <w:spacing w:before="60" w:after="60"/>
              <w:jc w:val="left"/>
            </w:pPr>
            <w:r>
              <w:rPr>
                <w:color w:val="2d2d2d"/>
                <w:sz w:val="22"/>
              </w:rPr>
              <w:t>Any person age 18+ may serve; tender witness fees</w:t>
            </w:r>
          </w:p>
        </w:tc>
        <w:tc>
          <w:tcPr>
            <w:tcW w:w="1600" w:type="dxa"/>
          </w:tcPr>
          <w:p>
            <w:pPr>
              <w:spacing w:before="60" w:after="60"/>
              <w:jc w:val="left"/>
            </w:pPr>
            <w:r>
              <w:rPr>
                <w:color w:val="2d2d2d"/>
                <w:sz w:val="22"/>
              </w:rPr>
              <w:t>Most reliable method</w:t>
            </w:r>
          </w:p>
        </w:tc>
      </w:tr>
      <w:tr>
        <w:tc>
          <w:tcPr>
            <w:tcW w:w="2200" w:type="dxa"/>
            <w:shd w:val="clear" w:fill="f5f5f5"/>
          </w:tcPr>
          <w:p>
            <w:pPr>
              <w:spacing w:before="60" w:after="60"/>
              <w:jc w:val="left"/>
            </w:pPr>
            <w:r>
              <w:rPr>
                <w:color w:val="2d2d2d"/>
                <w:sz w:val="22"/>
              </w:rPr>
              <w:t>Certified Mail</w:t>
            </w:r>
          </w:p>
        </w:tc>
        <w:tc>
          <w:tcPr>
            <w:tcW w:w="2600" w:type="dxa"/>
            <w:shd w:val="clear" w:fill="f5f5f5"/>
          </w:tcPr>
          <w:p>
            <w:pPr>
              <w:spacing w:before="60" w:after="60"/>
              <w:jc w:val="left"/>
            </w:pPr>
            <w:r>
              <w:rPr>
                <w:color w:val="2d2d2d"/>
                <w:sz w:val="22"/>
              </w:rPr>
              <w:t>Mail by certified mail, return receipt requested</w:t>
            </w:r>
          </w:p>
        </w:tc>
        <w:tc>
          <w:tcPr>
            <w:tcW w:w="2600" w:type="dxa"/>
            <w:shd w:val="clear" w:fill="f5f5f5"/>
          </w:tcPr>
          <w:p>
            <w:pPr>
              <w:spacing w:before="60" w:after="60"/>
              <w:jc w:val="left"/>
            </w:pPr>
            <w:r>
              <w:rPr>
                <w:color w:val="2d2d2d"/>
                <w:sz w:val="22"/>
              </w:rPr>
              <w:t>Delivery restricted to addressee only; 12 O.S. 2004.1(B)(2)</w:t>
            </w:r>
          </w:p>
        </w:tc>
        <w:tc>
          <w:tcPr>
            <w:tcW w:w="1600" w:type="dxa"/>
            <w:shd w:val="clear" w:fill="f5f5f5"/>
          </w:tcPr>
          <w:p>
            <w:pPr>
              <w:spacing w:before="60" w:after="60"/>
              <w:jc w:val="left"/>
            </w:pPr>
            <w:r>
              <w:rPr>
                <w:color w:val="2d2d2d"/>
                <w:sz w:val="22"/>
              </w:rPr>
              <w:t>Witnesses who live far away</w:t>
            </w:r>
          </w:p>
        </w:tc>
      </w:tr>
      <w:tr>
        <w:tc>
          <w:tcPr>
            <w:tcW w:w="2200" w:type="dxa"/>
          </w:tcPr>
          <w:p>
            <w:pPr>
              <w:spacing w:before="60" w:after="60"/>
              <w:jc w:val="left"/>
            </w:pPr>
            <w:r>
              <w:rPr>
                <w:color w:val="2d2d2d"/>
                <w:sz w:val="22"/>
              </w:rPr>
              <w:t>Peace Officer</w:t>
            </w:r>
          </w:p>
        </w:tc>
        <w:tc>
          <w:tcPr>
            <w:tcW w:w="2600" w:type="dxa"/>
          </w:tcPr>
          <w:p>
            <w:pPr>
              <w:spacing w:before="60" w:after="60"/>
              <w:jc w:val="left"/>
            </w:pPr>
            <w:r>
              <w:rPr>
                <w:color w:val="2d2d2d"/>
                <w:sz w:val="22"/>
              </w:rPr>
              <w:t>Sheriff or deputy serves the subpoena</w:t>
            </w:r>
          </w:p>
        </w:tc>
        <w:tc>
          <w:tcPr>
            <w:tcW w:w="2600" w:type="dxa"/>
          </w:tcPr>
          <w:p>
            <w:pPr>
              <w:spacing w:before="60" w:after="60"/>
              <w:jc w:val="left"/>
            </w:pPr>
            <w:r>
              <w:rPr>
                <w:color w:val="2d2d2d"/>
                <w:sz w:val="22"/>
              </w:rPr>
              <w:t>Officer must serve in their county; 22 O.S. 711</w:t>
            </w:r>
          </w:p>
        </w:tc>
        <w:tc>
          <w:tcPr>
            <w:tcW w:w="1600" w:type="dxa"/>
          </w:tcPr>
          <w:p>
            <w:pPr>
              <w:spacing w:before="60" w:after="60"/>
              <w:jc w:val="left"/>
            </w:pPr>
            <w:r>
              <w:rPr>
                <w:color w:val="2d2d2d"/>
                <w:sz w:val="22"/>
              </w:rPr>
              <w:t>Criminal cases</w:t>
            </w:r>
          </w:p>
        </w:tc>
      </w:tr>
      <w:tr>
        <w:tc>
          <w:tcPr>
            <w:tcW w:w="2200" w:type="dxa"/>
            <w:shd w:val="clear" w:fill="f5f5f5"/>
          </w:tcPr>
          <w:p>
            <w:pPr>
              <w:spacing w:before="60" w:after="60"/>
              <w:jc w:val="left"/>
            </w:pPr>
            <w:r>
              <w:rPr>
                <w:color w:val="2d2d2d"/>
                <w:sz w:val="22"/>
              </w:rPr>
              <w:t>Alternate Delivery</w:t>
            </w:r>
          </w:p>
        </w:tc>
        <w:tc>
          <w:tcPr>
            <w:tcW w:w="2600" w:type="dxa"/>
            <w:shd w:val="clear" w:fill="f5f5f5"/>
          </w:tcPr>
          <w:p>
            <w:pPr>
              <w:spacing w:before="60" w:after="60"/>
              <w:jc w:val="left"/>
            </w:pPr>
            <w:r>
              <w:rPr>
                <w:color w:val="2d2d2d"/>
                <w:sz w:val="22"/>
              </w:rPr>
              <w:t>Commercial courier or overnight delivery</w:t>
            </w:r>
          </w:p>
        </w:tc>
        <w:tc>
          <w:tcPr>
            <w:tcW w:w="2600" w:type="dxa"/>
            <w:shd w:val="clear" w:fill="f5f5f5"/>
          </w:tcPr>
          <w:p>
            <w:pPr>
              <w:spacing w:before="60" w:after="60"/>
              <w:jc w:val="left"/>
            </w:pPr>
            <w:r>
              <w:rPr>
                <w:color w:val="2d2d2d"/>
                <w:sz w:val="22"/>
              </w:rPr>
              <w:t>Written or electronic receipt required; 12 O.S. 2004.3</w:t>
            </w:r>
          </w:p>
        </w:tc>
        <w:tc>
          <w:tcPr>
            <w:tcW w:w="1600" w:type="dxa"/>
            <w:shd w:val="clear" w:fill="f5f5f5"/>
          </w:tcPr>
          <w:p>
            <w:pPr>
              <w:spacing w:before="60" w:after="60"/>
              <w:jc w:val="left"/>
            </w:pPr>
            <w:r>
              <w:rPr>
                <w:color w:val="2d2d2d"/>
                <w:sz w:val="22"/>
              </w:rPr>
              <w:t>Urgent requests</w:t>
            </w:r>
          </w:p>
        </w:tc>
      </w:tr>
    </w:tbl>
    <w:p>
      <w:pPr>
        <w:spacing w:after="200" w:line="288" w:lineRule="auto"/>
      </w:pPr>
      <w:r>
        <w:rPr>
          <w:rFonts w:ascii="Calibri" w:hAnsi="Calibri"/>
          <w:color w:val="2d2d2d"/>
          <w:sz w:val="24"/>
        </w:rPr>
        <w:t>Key rule: Service of a subpoena may be accomplished by any person who is 18 years of age or older. 12 O.S. 2004.1(B)(1). This is different from serving a summons, which requires a licensed process server, sheriff, or specially appointed person.</w:t>
      </w:r>
    </w:p>
    <w:p>
      <w:pPr>
        <w:pStyle w:val="Heading1"/>
      </w:pPr>
      <w:r>
        <w:t>Timeline and Deadlines</w:t>
      </w:r>
    </w:p>
    <w:p>
      <w:pPr>
        <w:spacing w:after="200" w:line="288" w:lineRule="auto"/>
      </w:pPr>
      <w:r>
        <w:rPr>
          <w:rFonts w:ascii="Calibri" w:hAnsi="Calibri"/>
          <w:color w:val="2d2d2d"/>
          <w:sz w:val="24"/>
        </w:rPr>
        <w:t>Subpoenas must be served with enough time for the witness to prepare and attend. These deadlines come from Oklahoma statutes.</w:t>
      </w:r>
    </w:p>
    <w:tbl>
      <w:tblPr>
        <w:tblW w:w="5000" w:type="pct"/>
        <w:tblBorders>
          <w:top w:val="single" w:color="1a2744" w:sz="12"/>
          <w:left w:val="nil"/>
          <w:bottom w:val="single" w:color="1a2744" w:sz="12"/>
          <w:right w:val="nil"/>
          <w:insideH w:val="single" w:color="cccccc" w:sz="4"/>
          <w:insideV w:val="nil"/>
        </w:tblBorders>
      </w:tblPr>
      <w:tblGrid>
        <w:gridCol w:w="3000"/>
        <w:gridCol w:w="2500"/>
        <w:gridCol w:w="3500"/>
      </w:tblGrid>
      <w:tr>
        <w:trPr>
          <w:tblHeader/>
        </w:trPr>
        <w:tc>
          <w:tcPr>
            <w:tcW w:w="3000" w:type="dxa"/>
            <w:shd w:val="clear" w:fill="1a2744"/>
          </w:tcPr>
          <w:p>
            <w:pPr>
              <w:spacing w:before="80" w:after="80"/>
              <w:jc w:val="center"/>
            </w:pPr>
            <w:r>
              <w:rPr>
                <w:b/>
                <w:color w:val="ffffff"/>
                <w:sz w:val="22"/>
              </w:rPr>
              <w:t>Deadline / Rule</w:t>
            </w:r>
          </w:p>
        </w:tc>
        <w:tc>
          <w:tcPr>
            <w:tcW w:w="2500" w:type="dxa"/>
            <w:shd w:val="clear" w:fill="1a2744"/>
          </w:tcPr>
          <w:p>
            <w:pPr>
              <w:spacing w:before="80" w:after="80"/>
              <w:jc w:val="center"/>
            </w:pPr>
            <w:r>
              <w:rPr>
                <w:b/>
                <w:color w:val="ffffff"/>
                <w:sz w:val="22"/>
              </w:rPr>
              <w:t>Time Frame</w:t>
            </w:r>
          </w:p>
        </w:tc>
        <w:tc>
          <w:tcPr>
            <w:tcW w:w="3500" w:type="dxa"/>
            <w:shd w:val="clear" w:fill="1a2744"/>
          </w:tcPr>
          <w:p>
            <w:pPr>
              <w:spacing w:before="80" w:after="80"/>
              <w:jc w:val="center"/>
            </w:pPr>
            <w:r>
              <w:rPr>
                <w:b/>
                <w:color w:val="ffffff"/>
                <w:sz w:val="22"/>
              </w:rPr>
              <w:t>Source</w:t>
            </w:r>
          </w:p>
        </w:tc>
      </w:tr>
      <w:tr>
        <w:tc>
          <w:tcPr>
            <w:tcW w:w="3000" w:type="dxa"/>
          </w:tcPr>
          <w:p>
            <w:pPr>
              <w:spacing w:before="60" w:after="60"/>
              <w:jc w:val="left"/>
            </w:pPr>
            <w:r>
              <w:rPr>
                <w:color w:val="2d2d2d"/>
                <w:sz w:val="22"/>
              </w:rPr>
              <w:t>Serve subpoena before trial date</w:t>
            </w:r>
          </w:p>
        </w:tc>
        <w:tc>
          <w:tcPr>
            <w:tcW w:w="2500" w:type="dxa"/>
          </w:tcPr>
          <w:p>
            <w:pPr>
              <w:spacing w:before="60" w:after="60"/>
              <w:jc w:val="left"/>
            </w:pPr>
            <w:r>
              <w:rPr>
                <w:color w:val="2d2d2d"/>
                <w:sz w:val="22"/>
              </w:rPr>
              <w:t>Reasonable time before hearing</w:t>
            </w:r>
          </w:p>
        </w:tc>
        <w:tc>
          <w:tcPr>
            <w:tcW w:w="3500" w:type="dxa"/>
          </w:tcPr>
          <w:p>
            <w:pPr>
              <w:spacing w:before="60" w:after="60"/>
              <w:jc w:val="left"/>
            </w:pPr>
            <w:r>
              <w:rPr>
                <w:color w:val="2d2d2d"/>
                <w:sz w:val="22"/>
              </w:rPr>
              <w:t>12 O.S. 2004.1(B)</w:t>
            </w:r>
          </w:p>
        </w:tc>
      </w:tr>
      <w:tr>
        <w:tc>
          <w:tcPr>
            <w:tcW w:w="3000" w:type="dxa"/>
            <w:shd w:val="clear" w:fill="f5f5f5"/>
          </w:tcPr>
          <w:p>
            <w:pPr>
              <w:spacing w:before="60" w:after="60"/>
              <w:jc w:val="left"/>
            </w:pPr>
            <w:r>
              <w:rPr>
                <w:color w:val="2d2d2d"/>
                <w:sz w:val="22"/>
              </w:rPr>
              <w:t>Criminal subpoena service</w:t>
            </w:r>
          </w:p>
        </w:tc>
        <w:tc>
          <w:tcPr>
            <w:tcW w:w="2500" w:type="dxa"/>
            <w:shd w:val="clear" w:fill="f5f5f5"/>
          </w:tcPr>
          <w:p>
            <w:pPr>
              <w:spacing w:before="60" w:after="60"/>
              <w:jc w:val="left"/>
            </w:pPr>
            <w:r>
              <w:rPr>
                <w:color w:val="2d2d2d"/>
                <w:sz w:val="22"/>
              </w:rPr>
              <w:t>Same manner as civil subpoenas</w:t>
            </w:r>
          </w:p>
        </w:tc>
        <w:tc>
          <w:tcPr>
            <w:tcW w:w="3500" w:type="dxa"/>
            <w:shd w:val="clear" w:fill="f5f5f5"/>
          </w:tcPr>
          <w:p>
            <w:pPr>
              <w:spacing w:before="60" w:after="60"/>
              <w:jc w:val="left"/>
            </w:pPr>
            <w:r>
              <w:rPr>
                <w:color w:val="2d2d2d"/>
                <w:sz w:val="22"/>
              </w:rPr>
              <w:t>22 O.S. 712</w:t>
            </w:r>
          </w:p>
        </w:tc>
      </w:tr>
      <w:tr>
        <w:tc>
          <w:tcPr>
            <w:tcW w:w="3000" w:type="dxa"/>
          </w:tcPr>
          <w:p>
            <w:pPr>
              <w:spacing w:before="60" w:after="60"/>
              <w:jc w:val="left"/>
            </w:pPr>
            <w:r>
              <w:rPr>
                <w:color w:val="2d2d2d"/>
                <w:sz w:val="22"/>
              </w:rPr>
              <w:t>Any person age 18+ may serve</w:t>
            </w:r>
          </w:p>
        </w:tc>
        <w:tc>
          <w:tcPr>
            <w:tcW w:w="2500" w:type="dxa"/>
          </w:tcPr>
          <w:p>
            <w:pPr>
              <w:spacing w:before="60" w:after="60"/>
              <w:jc w:val="left"/>
            </w:pPr>
            <w:r>
              <w:rPr>
                <w:color w:val="2d2d2d"/>
                <w:sz w:val="22"/>
              </w:rPr>
              <w:t>No license required for subpoenas</w:t>
            </w:r>
          </w:p>
        </w:tc>
        <w:tc>
          <w:tcPr>
            <w:tcW w:w="3500" w:type="dxa"/>
          </w:tcPr>
          <w:p>
            <w:pPr>
              <w:spacing w:before="60" w:after="60"/>
              <w:jc w:val="left"/>
            </w:pPr>
            <w:r>
              <w:rPr>
                <w:color w:val="2d2d2d"/>
                <w:sz w:val="22"/>
              </w:rPr>
              <w:t>12 O.S. 2004.1(B)(1)</w:t>
            </w:r>
          </w:p>
        </w:tc>
      </w:tr>
      <w:tr>
        <w:tc>
          <w:tcPr>
            <w:tcW w:w="3000" w:type="dxa"/>
            <w:shd w:val="clear" w:fill="f5f5f5"/>
          </w:tcPr>
          <w:p>
            <w:pPr>
              <w:spacing w:before="60" w:after="60"/>
              <w:jc w:val="left"/>
            </w:pPr>
            <w:r>
              <w:rPr>
                <w:color w:val="2d2d2d"/>
                <w:sz w:val="22"/>
              </w:rPr>
              <w:t>Witness fees must be tendered</w:t>
            </w:r>
          </w:p>
        </w:tc>
        <w:tc>
          <w:tcPr>
            <w:tcW w:w="2500" w:type="dxa"/>
            <w:shd w:val="clear" w:fill="f5f5f5"/>
          </w:tcPr>
          <w:p>
            <w:pPr>
              <w:spacing w:before="60" w:after="60"/>
              <w:jc w:val="left"/>
            </w:pPr>
            <w:r>
              <w:rPr>
                <w:color w:val="2d2d2d"/>
                <w:sz w:val="22"/>
              </w:rPr>
              <w:t>At time of service if attendance demanded</w:t>
            </w:r>
          </w:p>
        </w:tc>
        <w:tc>
          <w:tcPr>
            <w:tcW w:w="3500" w:type="dxa"/>
            <w:shd w:val="clear" w:fill="f5f5f5"/>
          </w:tcPr>
          <w:p>
            <w:pPr>
              <w:spacing w:before="60" w:after="60"/>
              <w:jc w:val="left"/>
            </w:pPr>
            <w:r>
              <w:rPr>
                <w:color w:val="2d2d2d"/>
                <w:sz w:val="22"/>
              </w:rPr>
              <w:t>12 O.S. 2004.1(B)(1)</w:t>
            </w:r>
          </w:p>
        </w:tc>
      </w:tr>
      <w:tr>
        <w:tc>
          <w:tcPr>
            <w:tcW w:w="3000" w:type="dxa"/>
          </w:tcPr>
          <w:p>
            <w:pPr>
              <w:spacing w:before="60" w:after="60"/>
              <w:jc w:val="left"/>
            </w:pPr>
            <w:r>
              <w:rPr>
                <w:color w:val="2d2d2d"/>
                <w:sz w:val="22"/>
              </w:rPr>
              <w:t>Proof of service (affidavit)</w:t>
            </w:r>
          </w:p>
        </w:tc>
        <w:tc>
          <w:tcPr>
            <w:tcW w:w="2500" w:type="dxa"/>
          </w:tcPr>
          <w:p>
            <w:pPr>
              <w:spacing w:before="60" w:after="60"/>
              <w:jc w:val="left"/>
            </w:pPr>
            <w:r>
              <w:rPr>
                <w:color w:val="2d2d2d"/>
                <w:sz w:val="22"/>
              </w:rPr>
              <w:t>File promptly after service</w:t>
            </w:r>
          </w:p>
        </w:tc>
        <w:tc>
          <w:tcPr>
            <w:tcW w:w="3500" w:type="dxa"/>
          </w:tcPr>
          <w:p>
            <w:pPr>
              <w:spacing w:before="60" w:after="60"/>
              <w:jc w:val="left"/>
            </w:pPr>
            <w:r>
              <w:rPr>
                <w:color w:val="2d2d2d"/>
                <w:sz w:val="22"/>
              </w:rPr>
              <w:t>12 O.S. 2004(G)(1)</w:t>
            </w:r>
          </w:p>
        </w:tc>
      </w:tr>
      <w:tr>
        <w:tc>
          <w:tcPr>
            <w:tcW w:w="3000" w:type="dxa"/>
            <w:shd w:val="clear" w:fill="f5f5f5"/>
          </w:tcPr>
          <w:p>
            <w:pPr>
              <w:spacing w:before="60" w:after="60"/>
              <w:jc w:val="left"/>
            </w:pPr>
            <w:r>
              <w:rPr>
                <w:color w:val="2d2d2d"/>
                <w:sz w:val="22"/>
              </w:rPr>
              <w:t>Service by certified mail</w:t>
            </w:r>
          </w:p>
        </w:tc>
        <w:tc>
          <w:tcPr>
            <w:tcW w:w="2500" w:type="dxa"/>
            <w:shd w:val="clear" w:fill="f5f5f5"/>
          </w:tcPr>
          <w:p>
            <w:pPr>
              <w:spacing w:before="60" w:after="60"/>
              <w:jc w:val="left"/>
            </w:pPr>
            <w:r>
              <w:rPr>
                <w:color w:val="2d2d2d"/>
                <w:sz w:val="22"/>
              </w:rPr>
              <w:t>Return receipt + delivery restricted</w:t>
            </w:r>
          </w:p>
        </w:tc>
        <w:tc>
          <w:tcPr>
            <w:tcW w:w="3500" w:type="dxa"/>
            <w:shd w:val="clear" w:fill="f5f5f5"/>
          </w:tcPr>
          <w:p>
            <w:pPr>
              <w:spacing w:before="60" w:after="60"/>
              <w:jc w:val="left"/>
            </w:pPr>
            <w:r>
              <w:rPr>
                <w:color w:val="2d2d2d"/>
                <w:sz w:val="22"/>
              </w:rPr>
              <w:t>12 O.S. 2004.1(B)(2)</w:t>
            </w:r>
          </w:p>
        </w:tc>
      </w:tr>
      <w:tr>
        <w:tc>
          <w:tcPr>
            <w:tcW w:w="3000" w:type="dxa"/>
          </w:tcPr>
          <w:p>
            <w:pPr>
              <w:spacing w:before="60" w:after="60"/>
              <w:jc w:val="left"/>
            </w:pPr>
            <w:r>
              <w:rPr>
                <w:color w:val="2d2d2d"/>
                <w:sz w:val="22"/>
              </w:rPr>
              <w:t>Out-of-state subpoena (UIDDA)</w:t>
            </w:r>
          </w:p>
        </w:tc>
        <w:tc>
          <w:tcPr>
            <w:tcW w:w="2500" w:type="dxa"/>
          </w:tcPr>
          <w:p>
            <w:pPr>
              <w:spacing w:before="60" w:after="60"/>
              <w:jc w:val="left"/>
            </w:pPr>
            <w:r>
              <w:rPr>
                <w:color w:val="2d2d2d"/>
                <w:sz w:val="22"/>
              </w:rPr>
              <w:t>Submit to clerk in county where discovery sought</w:t>
            </w:r>
          </w:p>
        </w:tc>
        <w:tc>
          <w:tcPr>
            <w:tcW w:w="3500" w:type="dxa"/>
          </w:tcPr>
          <w:p>
            <w:pPr>
              <w:spacing w:before="60" w:after="60"/>
              <w:jc w:val="left"/>
            </w:pPr>
            <w:r>
              <w:rPr>
                <w:color w:val="2d2d2d"/>
                <w:sz w:val="22"/>
              </w:rPr>
              <w:t>12 O.S. 3252</w:t>
            </w:r>
          </w:p>
        </w:tc>
      </w:tr>
      <w:tr>
        <w:tc>
          <w:tcPr>
            <w:tcW w:w="3000" w:type="dxa"/>
            <w:shd w:val="clear" w:fill="f5f5f5"/>
          </w:tcPr>
          <w:p>
            <w:pPr>
              <w:spacing w:before="60" w:after="60"/>
              <w:jc w:val="left"/>
            </w:pPr>
            <w:r>
              <w:rPr>
                <w:color w:val="2d2d2d"/>
                <w:sz w:val="22"/>
              </w:rPr>
              <w:t>Subpoena duces tecum</w:t>
            </w:r>
          </w:p>
        </w:tc>
        <w:tc>
          <w:tcPr>
            <w:tcW w:w="2500" w:type="dxa"/>
            <w:shd w:val="clear" w:fill="f5f5f5"/>
          </w:tcPr>
          <w:p>
            <w:pPr>
              <w:spacing w:before="60" w:after="60"/>
              <w:jc w:val="left"/>
            </w:pPr>
            <w:r>
              <w:rPr>
                <w:color w:val="2d2d2d"/>
                <w:sz w:val="22"/>
              </w:rPr>
              <w:t>Allow reasonable time to gather documents</w:t>
            </w:r>
          </w:p>
        </w:tc>
        <w:tc>
          <w:tcPr>
            <w:tcW w:w="3500" w:type="dxa"/>
            <w:shd w:val="clear" w:fill="f5f5f5"/>
          </w:tcPr>
          <w:p>
            <w:pPr>
              <w:spacing w:before="60" w:after="60"/>
              <w:jc w:val="left"/>
            </w:pPr>
            <w:r>
              <w:rPr>
                <w:color w:val="2d2d2d"/>
                <w:sz w:val="22"/>
              </w:rPr>
              <w:t>Case law / court rule</w:t>
            </w:r>
          </w:p>
        </w:tc>
      </w:tr>
    </w:tbl>
    <w:p>
      <w:pPr>
        <w:pStyle w:val="Heading1"/>
      </w:pPr>
      <w:r>
        <w:t>Step-by-Step Procedure</w:t>
      </w:r>
    </w:p>
    <w:p>
      <w:pPr>
        <w:spacing w:after="200" w:line="288" w:lineRule="auto"/>
      </w:pPr>
      <w:r>
        <w:rPr>
          <w:rFonts w:ascii="Calibri" w:hAnsi="Calibri"/>
          <w:color w:val="2d2d2d"/>
          <w:sz w:val="24"/>
        </w:rPr>
        <w:t>Follow these steps to serve a subpoena in Oklahoma. Each step is important. Do not skip any steps.</w:t>
      </w:r>
    </w:p>
    <w:p>
      <w:pPr>
        <w:pStyle w:val="Heading2"/>
      </w:pPr>
      <w:r>
        <w:t>Step 1: Draft the Subpoena</w:t>
      </w:r>
    </w:p>
    <w:p>
      <w:pPr>
        <w:spacing w:after="200" w:line="288" w:lineRule="auto"/>
      </w:pPr>
      <w:r>
        <w:rPr>
          <w:rFonts w:ascii="Calibri" w:hAnsi="Calibri"/>
          <w:color w:val="2d2d2d"/>
          <w:sz w:val="24"/>
        </w:rPr>
        <w:t>Start with a blank subpoena form. You can get forms from the court clerk or from OSCN.net. Fill in these details:</w:t>
      </w:r>
    </w:p>
    <w:p>
      <w:pPr>
        <w:numPr>
          <w:ilvl w:val="0"/>
          <w:numId w:val="2"/>
        </w:numPr>
        <w:spacing w:after="120"/>
      </w:pPr>
      <w:r>
        <w:rPr>
          <w:rFonts w:ascii="Calibri" w:hAnsi="Calibri"/>
          <w:color w:val="2d2d2d"/>
          <w:sz w:val="24"/>
        </w:rPr>
        <w:t>The name of the court case</w:t>
      </w:r>
    </w:p>
    <w:p>
      <w:pPr>
        <w:numPr>
          <w:ilvl w:val="0"/>
          <w:numId w:val="2"/>
        </w:numPr>
        <w:spacing w:after="120"/>
      </w:pPr>
      <w:r>
        <w:rPr>
          <w:rFonts w:ascii="Calibri" w:hAnsi="Calibri"/>
          <w:color w:val="2d2d2d"/>
          <w:sz w:val="24"/>
        </w:rPr>
        <w:t>The case number</w:t>
      </w:r>
    </w:p>
    <w:p>
      <w:pPr>
        <w:numPr>
          <w:ilvl w:val="0"/>
          <w:numId w:val="2"/>
        </w:numPr>
        <w:spacing w:after="120"/>
      </w:pPr>
      <w:r>
        <w:rPr>
          <w:rFonts w:ascii="Calibri" w:hAnsi="Calibri"/>
          <w:color w:val="2d2d2d"/>
          <w:sz w:val="24"/>
        </w:rPr>
        <w:t>The full legal name of the witness</w:t>
      </w:r>
    </w:p>
    <w:p>
      <w:pPr>
        <w:numPr>
          <w:ilvl w:val="0"/>
          <w:numId w:val="2"/>
        </w:numPr>
        <w:spacing w:after="120"/>
      </w:pPr>
      <w:r>
        <w:rPr>
          <w:rFonts w:ascii="Calibri" w:hAnsi="Calibri"/>
          <w:color w:val="2d2d2d"/>
          <w:sz w:val="24"/>
        </w:rPr>
        <w:t>The date, time, and place where the witness must appear</w:t>
      </w:r>
    </w:p>
    <w:p>
      <w:pPr>
        <w:numPr>
          <w:ilvl w:val="0"/>
          <w:numId w:val="2"/>
        </w:numPr>
        <w:spacing w:after="120"/>
      </w:pPr>
      <w:r>
        <w:rPr>
          <w:rFonts w:ascii="Calibri" w:hAnsi="Calibri"/>
          <w:color w:val="2d2d2d"/>
          <w:sz w:val="24"/>
        </w:rPr>
        <w:t>Whether the witness must bring documents (subpoena duces tecum)</w:t>
      </w:r>
    </w:p>
    <w:p>
      <w:pPr>
        <w:spacing w:after="200" w:line="288" w:lineRule="auto"/>
      </w:pPr>
      <w:r>
        <w:rPr>
          <w:rFonts w:ascii="Calibri" w:hAnsi="Calibri"/>
          <w:color w:val="2d2d2d"/>
          <w:sz w:val="24"/>
        </w:rPr>
        <w:t>If you are not an attorney, have the court clerk sign and seal the subpoena.</w:t>
      </w:r>
    </w:p>
    <w:p>
      <w:pPr>
        <w:pStyle w:val="Heading2"/>
      </w:pPr>
      <w:r>
        <w:t>Step 2: Calculate Witness Fees and Mileage</w:t>
      </w:r>
    </w:p>
    <w:p>
      <w:pPr>
        <w:spacing w:after="200" w:line="288" w:lineRule="auto"/>
      </w:pPr>
      <w:r>
        <w:rPr>
          <w:rFonts w:ascii="Calibri" w:hAnsi="Calibri"/>
          <w:color w:val="2d2d2d"/>
          <w:sz w:val="24"/>
        </w:rPr>
        <w:t>Oklahoma law requires you to pay the witness a fee for one day of attendance. You must also pay mileage for the round trip from the witness's home to the courthouse.</w:t>
      </w:r>
    </w:p>
    <w:p>
      <w:pPr>
        <w:spacing w:after="200" w:line="288" w:lineRule="auto"/>
      </w:pPr>
      <w:r>
        <w:rPr>
          <w:rFonts w:ascii="Calibri" w:hAnsi="Calibri"/>
          <w:color w:val="2d2d2d"/>
          <w:sz w:val="24"/>
        </w:rPr>
        <w:t>The exact witness fee amount is set by law. Verify the current rate with the court clerk. Mileage is paid at the rate allowed by Oklahoma law for state officers.</w:t>
      </w:r>
    </w:p>
    <w:p>
      <w:pPr>
        <w:spacing w:after="200" w:line="288" w:lineRule="auto"/>
      </w:pPr>
      <w:r>
        <w:rPr>
          <w:rFonts w:ascii="Calibri" w:hAnsi="Calibri"/>
          <w:color w:val="2d2d2d"/>
          <w:sz w:val="24"/>
        </w:rPr>
        <w:t>12 O.S. 2004.1(B)(1): "Service of a subpoena upon a person named therein shall be made by delivering or mailing a copy thereof to such person and, if the person's attendance is demanded, by tendering to that person the fees for one (1) day's attendance and the mileage allowed by law."</w:t>
      </w:r>
    </w:p>
    <w:p>
      <w:pPr>
        <w:pStyle w:val="Heading2"/>
      </w:pPr>
      <w:r>
        <w:t>Step 3: Choose a Service Method</w:t>
      </w:r>
    </w:p>
    <w:p>
      <w:pPr>
        <w:spacing w:after="200" w:line="288" w:lineRule="auto"/>
      </w:pPr>
      <w:r>
        <w:rPr>
          <w:rFonts w:ascii="Calibri" w:hAnsi="Calibri"/>
          <w:color w:val="2d2d2d"/>
          <w:sz w:val="24"/>
        </w:rPr>
        <w:t>Pick one of the service methods from the comparison table above. Personal delivery is the most reliable. Certified mail works well for witnesses who live far away.</w:t>
      </w:r>
    </w:p>
    <w:p>
      <w:pPr>
        <w:spacing w:after="200" w:line="288" w:lineRule="auto"/>
      </w:pPr>
      <w:r>
        <w:rPr>
          <w:rFonts w:ascii="Calibri" w:hAnsi="Calibri"/>
          <w:color w:val="2d2d2d"/>
          <w:sz w:val="24"/>
        </w:rPr>
        <w:t>Remember: any person age 18 or older may serve a subpoena. You do not need a licensed process server.</w:t>
      </w:r>
    </w:p>
    <w:p>
      <w:pPr>
        <w:pStyle w:val="Heading2"/>
      </w:pPr>
      <w:r>
        <w:t>Step 4: Serve the Subpoena</w:t>
      </w:r>
    </w:p>
    <w:p>
      <w:pPr>
        <w:spacing w:after="200" w:line="288" w:lineRule="auto"/>
      </w:pPr>
      <w:r>
        <w:rPr>
          <w:rFonts w:ascii="Calibri" w:hAnsi="Calibri"/>
          <w:color w:val="2d2d2d"/>
          <w:sz w:val="24"/>
        </w:rPr>
        <w:t>If serving in person, hand a copy of the subpoena directly to the witness. If the witness is not home, you may leave a copy at their dwelling house with a person age 15 or older who lives there.</w:t>
      </w:r>
    </w:p>
    <w:p>
      <w:pPr>
        <w:spacing w:after="200" w:line="288" w:lineRule="auto"/>
      </w:pPr>
      <w:r>
        <w:rPr>
          <w:rFonts w:ascii="Calibri" w:hAnsi="Calibri"/>
          <w:color w:val="2d2d2d"/>
          <w:sz w:val="24"/>
        </w:rPr>
        <w:t>If serving by certified mail, go to the post office. Use certified mail with return receipt requested. Make sure delivery is restricted to the addressee only. Keep your mailing receipt.</w:t>
      </w:r>
    </w:p>
    <w:p>
      <w:pPr>
        <w:pStyle w:val="Heading2"/>
      </w:pPr>
      <w:r>
        <w:t>Step 5: Tender Witness Fees</w:t>
      </w:r>
    </w:p>
    <w:p>
      <w:pPr>
        <w:spacing w:after="200" w:line="288" w:lineRule="auto"/>
      </w:pPr>
      <w:r>
        <w:rPr>
          <w:rFonts w:ascii="Calibri" w:hAnsi="Calibri"/>
          <w:color w:val="2d2d2d"/>
          <w:sz w:val="24"/>
        </w:rPr>
        <w:t>At the time of service, offer the witness their fee for one day of attendance plus mileage. If the witness refuses the fees, write down that you offered and they refused.</w:t>
      </w:r>
    </w:p>
    <w:p>
      <w:pPr>
        <w:pStyle w:val="Heading2"/>
      </w:pPr>
      <w:r>
        <w:t>Step 6: Complete the Affidavit of Service</w:t>
      </w:r>
    </w:p>
    <w:p>
      <w:pPr>
        <w:spacing w:after="200" w:line="288" w:lineRule="auto"/>
      </w:pPr>
      <w:r>
        <w:rPr>
          <w:rFonts w:ascii="Calibri" w:hAnsi="Calibri"/>
          <w:color w:val="2d2d2d"/>
          <w:sz w:val="24"/>
        </w:rPr>
        <w:t>After service is complete, fill out an Affidavit of Service. This is also called a Return of Service. The affidavit must include:</w:t>
      </w:r>
    </w:p>
    <w:p>
      <w:pPr>
        <w:numPr>
          <w:ilvl w:val="0"/>
          <w:numId w:val="2"/>
        </w:numPr>
        <w:spacing w:after="120"/>
      </w:pPr>
      <w:r>
        <w:rPr>
          <w:rFonts w:ascii="Calibri" w:hAnsi="Calibri"/>
          <w:color w:val="2d2d2d"/>
          <w:sz w:val="24"/>
        </w:rPr>
        <w:t>The county where the subpoena was issued</w:t>
      </w:r>
    </w:p>
    <w:p>
      <w:pPr>
        <w:numPr>
          <w:ilvl w:val="0"/>
          <w:numId w:val="2"/>
        </w:numPr>
        <w:spacing w:after="120"/>
      </w:pPr>
      <w:r>
        <w:rPr>
          <w:rFonts w:ascii="Calibri" w:hAnsi="Calibri"/>
          <w:color w:val="2d2d2d"/>
          <w:sz w:val="24"/>
        </w:rPr>
        <w:t>The name of the person who was served</w:t>
      </w:r>
    </w:p>
    <w:p>
      <w:pPr>
        <w:numPr>
          <w:ilvl w:val="0"/>
          <w:numId w:val="2"/>
        </w:numPr>
        <w:spacing w:after="120"/>
      </w:pPr>
      <w:r>
        <w:rPr>
          <w:rFonts w:ascii="Calibri" w:hAnsi="Calibri"/>
          <w:color w:val="2d2d2d"/>
          <w:sz w:val="24"/>
        </w:rPr>
        <w:t>The date of service</w:t>
      </w:r>
    </w:p>
    <w:p>
      <w:pPr>
        <w:numPr>
          <w:ilvl w:val="0"/>
          <w:numId w:val="2"/>
        </w:numPr>
        <w:spacing w:after="120"/>
      </w:pPr>
      <w:r>
        <w:rPr>
          <w:rFonts w:ascii="Calibri" w:hAnsi="Calibri"/>
          <w:color w:val="2d2d2d"/>
          <w:sz w:val="24"/>
        </w:rPr>
        <w:t>The place of service</w:t>
      </w:r>
    </w:p>
    <w:p>
      <w:pPr>
        <w:numPr>
          <w:ilvl w:val="0"/>
          <w:numId w:val="2"/>
        </w:numPr>
        <w:spacing w:after="120"/>
      </w:pPr>
      <w:r>
        <w:rPr>
          <w:rFonts w:ascii="Calibri" w:hAnsi="Calibri"/>
          <w:color w:val="2d2d2d"/>
          <w:sz w:val="24"/>
        </w:rPr>
        <w:t>The method of service (personal, mail, etc.)</w:t>
      </w:r>
    </w:p>
    <w:p>
      <w:pPr>
        <w:spacing w:after="200" w:line="288" w:lineRule="auto"/>
      </w:pPr>
      <w:r>
        <w:rPr>
          <w:rFonts w:ascii="Calibri" w:hAnsi="Calibri"/>
          <w:color w:val="2d2d2d"/>
          <w:sz w:val="24"/>
        </w:rPr>
        <w:t>12 O.S. 2004(G)(2): "The return shall set forth the county of issuance, the name of the person served and the date, place and method of service."</w:t>
      </w:r>
    </w:p>
    <w:p>
      <w:pPr>
        <w:pStyle w:val="Heading2"/>
      </w:pPr>
      <w:r>
        <w:t>Step 7: File the Affidavit with the Court</w:t>
      </w:r>
    </w:p>
    <w:p>
      <w:pPr>
        <w:spacing w:after="200" w:line="288" w:lineRule="auto"/>
      </w:pPr>
      <w:r>
        <w:rPr>
          <w:rFonts w:ascii="Calibri" w:hAnsi="Calibri"/>
          <w:color w:val="2d2d2d"/>
          <w:sz w:val="24"/>
        </w:rPr>
        <w:t>Take the completed Affidavit of Service to the court clerk. File it promptly. The affidavit is your proof that the subpoena was served.</w:t>
      </w:r>
    </w:p>
    <w:p>
      <w:pPr>
        <w:spacing w:after="200" w:line="288" w:lineRule="auto"/>
      </w:pPr>
      <w:r>
        <w:rPr>
          <w:rFonts w:ascii="Calibri" w:hAnsi="Calibri"/>
          <w:color w:val="2d2d2d"/>
          <w:sz w:val="24"/>
        </w:rPr>
        <w:t>12 O.S. 2004(G)(1): "The person serving the process shall make proof of service thereof to the court promptly."</w:t>
      </w:r>
    </w:p>
    <w:p>
      <w:pPr>
        <w:pStyle w:val="Heading1"/>
      </w:pPr>
      <w:r>
        <w:t>Subpoena Duces Tecum</w:t>
      </w:r>
    </w:p>
    <w:p>
      <w:pPr>
        <w:spacing w:after="200" w:line="288" w:lineRule="auto"/>
      </w:pPr>
      <w:r>
        <w:rPr>
          <w:rFonts w:ascii="Calibri" w:hAnsi="Calibri"/>
          <w:color w:val="2d2d2d"/>
          <w:sz w:val="24"/>
        </w:rPr>
        <w:t>A subpoena duces tecum orders a person to bring documents or items to court. The name means "bring with you under penalty."</w:t>
      </w:r>
    </w:p>
    <w:p>
      <w:pPr>
        <w:spacing w:after="200" w:line="288" w:lineRule="auto"/>
      </w:pPr>
      <w:r>
        <w:rPr>
          <w:rFonts w:ascii="Calibri" w:hAnsi="Calibri"/>
          <w:color w:val="2d2d2d"/>
          <w:sz w:val="24"/>
        </w:rPr>
        <w:t>When you serve a subpoena duces tecum, you must:</w:t>
      </w:r>
    </w:p>
    <w:p>
      <w:pPr>
        <w:numPr>
          <w:ilvl w:val="0"/>
          <w:numId w:val="2"/>
        </w:numPr>
        <w:spacing w:after="120"/>
      </w:pPr>
      <w:r>
        <w:rPr>
          <w:rFonts w:ascii="Calibri" w:hAnsi="Calibri"/>
          <w:color w:val="2d2d2d"/>
          <w:sz w:val="24"/>
        </w:rPr>
        <w:t>Describe the documents or items with enough detail so the witness knows what to bring</w:t>
      </w:r>
    </w:p>
    <w:p>
      <w:pPr>
        <w:numPr>
          <w:ilvl w:val="0"/>
          <w:numId w:val="2"/>
        </w:numPr>
        <w:spacing w:after="120"/>
      </w:pPr>
      <w:r>
        <w:rPr>
          <w:rFonts w:ascii="Calibri" w:hAnsi="Calibri"/>
          <w:color w:val="2d2d2d"/>
          <w:sz w:val="24"/>
        </w:rPr>
        <w:t>Allow a reasonable time for the witness to gather the documents</w:t>
      </w:r>
    </w:p>
    <w:p>
      <w:pPr>
        <w:numPr>
          <w:ilvl w:val="0"/>
          <w:numId w:val="2"/>
        </w:numPr>
        <w:spacing w:after="120"/>
      </w:pPr>
      <w:r>
        <w:rPr>
          <w:rFonts w:ascii="Calibri" w:hAnsi="Calibri"/>
          <w:color w:val="2d2d2d"/>
          <w:sz w:val="24"/>
        </w:rPr>
        <w:t>Pay witness fees and mileage just like a regular subpoena</w:t>
      </w:r>
    </w:p>
    <w:p>
      <w:pPr>
        <w:spacing w:after="200" w:line="288" w:lineRule="auto"/>
      </w:pPr>
      <w:r>
        <w:rPr>
          <w:rFonts w:ascii="Calibri" w:hAnsi="Calibri"/>
          <w:color w:val="2d2d2d"/>
          <w:sz w:val="24"/>
        </w:rPr>
        <w:t>You cannot use a subpoena duces tecum to get documents from someone who is a party to the case. For parties, use the discovery rules instead.</w:t>
      </w:r>
    </w:p>
    <w:p>
      <w:pPr>
        <w:pStyle w:val="Heading1"/>
      </w:pPr>
      <w:r>
        <w:t>Out-of-State Subpoenas (UIDDA)</w:t>
      </w:r>
    </w:p>
    <w:p>
      <w:pPr>
        <w:spacing w:after="200" w:line="288" w:lineRule="auto"/>
      </w:pPr>
      <w:r>
        <w:rPr>
          <w:rFonts w:ascii="Calibri" w:hAnsi="Calibri"/>
          <w:color w:val="2d2d2d"/>
          <w:sz w:val="24"/>
        </w:rPr>
        <w:t>Sometimes you need to get testimony or documents from a person who lives in Oklahoma, but your case is in another state. The Uniform Interstate Depositions and Discovery Act (UIDDA) makes this easier.</w:t>
      </w:r>
    </w:p>
    <w:p>
      <w:pPr>
        <w:spacing w:after="200" w:line="288" w:lineRule="auto"/>
      </w:pPr>
      <w:r>
        <w:rPr>
          <w:rFonts w:ascii="Calibri" w:hAnsi="Calibri"/>
          <w:color w:val="2d2d2d"/>
          <w:sz w:val="24"/>
        </w:rPr>
        <w:t>Oklahoma adopted the UIDDA in 2021. It is found at 12 O.S. 3250 through 3257.</w:t>
      </w:r>
    </w:p>
    <w:p>
      <w:pPr>
        <w:pStyle w:val="Heading2"/>
      </w:pPr>
      <w:r>
        <w:t>How to Use UIDDA to Serve an Out-of-State Subpoena</w:t>
      </w:r>
    </w:p>
    <w:p>
      <w:pPr>
        <w:spacing w:after="200" w:line="288" w:lineRule="auto"/>
      </w:pPr>
      <w:r>
        <w:rPr>
          <w:rFonts w:ascii="Calibri" w:hAnsi="Calibri"/>
          <w:color w:val="2d2d2d"/>
          <w:sz w:val="24"/>
        </w:rPr>
        <w:t>Follow these steps:</w:t>
      </w:r>
    </w:p>
    <w:p>
      <w:pPr>
        <w:numPr>
          <w:ilvl w:val="0"/>
          <w:numId w:val="1"/>
        </w:numPr>
        <w:spacing w:after="120"/>
      </w:pPr>
      <w:r>
        <w:rPr>
          <w:rFonts w:ascii="Calibri" w:hAnsi="Calibri"/>
          <w:color w:val="2d2d2d"/>
          <w:sz w:val="24"/>
        </w:rPr>
        <w:t>Get a subpoena issued by the court in the state where your case is pending.</w:t>
      </w:r>
    </w:p>
    <w:p>
      <w:pPr>
        <w:numPr>
          <w:ilvl w:val="0"/>
          <w:numId w:val="1"/>
        </w:numPr>
        <w:spacing w:after="120"/>
      </w:pPr>
      <w:r>
        <w:rPr>
          <w:rFonts w:ascii="Calibri" w:hAnsi="Calibri"/>
          <w:color w:val="2d2d2d"/>
          <w:sz w:val="24"/>
        </w:rPr>
        <w:t>Submit that foreign subpoena to a court clerk in the Oklahoma county where the witness lives.</w:t>
      </w:r>
    </w:p>
    <w:p>
      <w:pPr>
        <w:numPr>
          <w:ilvl w:val="0"/>
          <w:numId w:val="1"/>
        </w:numPr>
        <w:spacing w:after="120"/>
      </w:pPr>
      <w:r>
        <w:rPr>
          <w:rFonts w:ascii="Calibri" w:hAnsi="Calibri"/>
          <w:color w:val="2d2d2d"/>
          <w:sz w:val="24"/>
        </w:rPr>
        <w:t>The Oklahoma clerk will issue a local subpoena that matches the foreign subpoena.</w:t>
      </w:r>
    </w:p>
    <w:p>
      <w:pPr>
        <w:numPr>
          <w:ilvl w:val="0"/>
          <w:numId w:val="1"/>
        </w:numPr>
        <w:spacing w:after="120"/>
      </w:pPr>
      <w:r>
        <w:rPr>
          <w:rFonts w:ascii="Calibri" w:hAnsi="Calibri"/>
          <w:color w:val="2d2d2d"/>
          <w:sz w:val="24"/>
        </w:rPr>
        <w:t>Serve the Oklahoma subpoena using the methods described in this guide.</w:t>
      </w:r>
    </w:p>
    <w:p>
      <w:pPr>
        <w:spacing w:after="200" w:line="288" w:lineRule="auto"/>
      </w:pPr>
      <w:r>
        <w:rPr>
          <w:rFonts w:ascii="Calibri" w:hAnsi="Calibri"/>
          <w:color w:val="2d2d2d"/>
          <w:sz w:val="24"/>
        </w:rPr>
        <w:t>12 O.S. 3252: "A party must submit a foreign subpoena to a clerk of court in the county in which discovery is sought. The clerk shall promptly issue a subpoena for service upon the person to which the foreign subpoena is directed."</w:t>
      </w:r>
    </w:p>
    <w:p>
      <w:pPr>
        <w:pStyle w:val="Heading2"/>
      </w:pPr>
      <w:r>
        <w:t>Important UIDDA Rules</w:t>
      </w:r>
    </w:p>
    <w:p>
      <w:pPr>
        <w:numPr>
          <w:ilvl w:val="0"/>
          <w:numId w:val="2"/>
        </w:numPr>
        <w:spacing w:after="120"/>
      </w:pPr>
      <w:r>
        <w:rPr>
          <w:rFonts w:ascii="Calibri" w:hAnsi="Calibri"/>
          <w:color w:val="2d2d2d"/>
          <w:sz w:val="24"/>
        </w:rPr>
        <w:t>The Oklahoma subpoena must use the same terms as the foreign subpoena.</w:t>
      </w:r>
    </w:p>
    <w:p>
      <w:pPr>
        <w:numPr>
          <w:ilvl w:val="0"/>
          <w:numId w:val="2"/>
        </w:numPr>
        <w:spacing w:after="120"/>
      </w:pPr>
      <w:r>
        <w:rPr>
          <w:rFonts w:ascii="Calibri" w:hAnsi="Calibri"/>
          <w:color w:val="2d2d2d"/>
          <w:sz w:val="24"/>
        </w:rPr>
        <w:t>You must include the names, addresses, and phone numbers of all attorneys in the case.</w:t>
      </w:r>
    </w:p>
    <w:p>
      <w:pPr>
        <w:numPr>
          <w:ilvl w:val="0"/>
          <w:numId w:val="2"/>
        </w:numPr>
        <w:spacing w:after="120"/>
      </w:pPr>
      <w:r>
        <w:rPr>
          <w:rFonts w:ascii="Calibri" w:hAnsi="Calibri"/>
          <w:color w:val="2d2d2d"/>
          <w:sz w:val="24"/>
        </w:rPr>
        <w:t>A foreign attorney requesting an Oklahoma subpoena is not making a court appearance in Oklahoma.</w:t>
      </w:r>
    </w:p>
    <w:p>
      <w:pPr>
        <w:numPr>
          <w:ilvl w:val="0"/>
          <w:numId w:val="2"/>
        </w:numPr>
        <w:spacing w:after="120"/>
      </w:pPr>
      <w:r>
        <w:rPr>
          <w:rFonts w:ascii="Calibri" w:hAnsi="Calibri"/>
          <w:color w:val="2d2d2d"/>
          <w:sz w:val="24"/>
        </w:rPr>
        <w:t>The witness can ask an Oklahoma court to quash (cancel) or modify the subpoena.</w:t>
      </w:r>
    </w:p>
    <w:p>
      <w:pPr>
        <w:numPr>
          <w:ilvl w:val="0"/>
          <w:numId w:val="2"/>
        </w:numPr>
        <w:spacing w:after="120"/>
      </w:pPr>
      <w:r>
        <w:rPr>
          <w:rFonts w:ascii="Calibri" w:hAnsi="Calibri"/>
          <w:color w:val="2d2d2d"/>
          <w:sz w:val="24"/>
        </w:rPr>
        <w:t>12 O.S. 3255: Applications to quash or modify must be filed in the Oklahoma county where discovery is sought.</w:t>
      </w:r>
    </w:p>
    <w:p>
      <w:pPr>
        <w:pStyle w:val="Heading2"/>
      </w:pPr>
      <w:r>
        <w:t>Serving an Oklahoma Subpoena in Another State</w:t>
      </w:r>
    </w:p>
    <w:p>
      <w:pPr>
        <w:spacing w:after="200" w:line="288" w:lineRule="auto"/>
      </w:pPr>
      <w:r>
        <w:rPr>
          <w:rFonts w:ascii="Calibri" w:hAnsi="Calibri"/>
          <w:color w:val="2d2d2d"/>
          <w:sz w:val="24"/>
        </w:rPr>
        <w:t>If your case is in Oklahoma and the witness lives in another state, do the opposite:</w:t>
      </w:r>
    </w:p>
    <w:p>
      <w:pPr>
        <w:spacing w:after="200" w:line="288" w:lineRule="auto"/>
      </w:pPr>
      <w:r>
        <w:rPr>
          <w:rFonts w:ascii="Calibri" w:hAnsi="Calibri"/>
          <w:color w:val="2d2d2d"/>
          <w:sz w:val="24"/>
        </w:rPr>
        <w:t>Contact the court clerk in the state where the witness lives. Give them a copy of your Oklahoma subpoena. They will issue a local subpoena in that state. Then have it served under that state's laws.</w:t>
      </w:r>
    </w:p>
    <w:p>
      <w:pPr>
        <w:pStyle w:val="Heading1"/>
      </w:pPr>
      <w:r>
        <w:t>Criminal Subpoenas</w:t>
      </w:r>
    </w:p>
    <w:p>
      <w:pPr>
        <w:spacing w:after="200" w:line="288" w:lineRule="auto"/>
      </w:pPr>
      <w:r>
        <w:rPr>
          <w:rFonts w:ascii="Calibri" w:hAnsi="Calibri"/>
          <w:color w:val="2d2d2d"/>
          <w:sz w:val="24"/>
        </w:rPr>
        <w:t>Subpoenas in criminal cases follow most of the same rules as civil cases. But there are a few differences.</w:t>
      </w:r>
    </w:p>
    <w:p>
      <w:pPr>
        <w:pStyle w:val="Heading2"/>
      </w:pPr>
      <w:r>
        <w:t>Who Can Serve a Criminal Subpoena</w:t>
      </w:r>
    </w:p>
    <w:p>
      <w:pPr>
        <w:spacing w:after="200" w:line="288" w:lineRule="auto"/>
      </w:pPr>
      <w:r>
        <w:rPr>
          <w:rFonts w:ascii="Calibri" w:hAnsi="Calibri"/>
          <w:color w:val="2d2d2d"/>
          <w:sz w:val="24"/>
        </w:rPr>
        <w:t>A peace officer (sheriff or deputy) must serve any subpoena delivered to them. But a subpoena may also be served by any other person.</w:t>
      </w:r>
    </w:p>
    <w:p>
      <w:pPr>
        <w:spacing w:after="200" w:line="288" w:lineRule="auto"/>
      </w:pPr>
      <w:r>
        <w:rPr>
          <w:rFonts w:ascii="Calibri" w:hAnsi="Calibri"/>
          <w:color w:val="2d2d2d"/>
          <w:sz w:val="24"/>
        </w:rPr>
        <w:t>22 O.S. 711: "A peace officer must serve in his county, city, town or village, as the case may be, any subpoena delivered to him for service, either on the part of the state or of the defendant, and must make a written return of the service. A subpoena may, however, be served by any other person."</w:t>
      </w:r>
    </w:p>
    <w:p>
      <w:pPr>
        <w:pStyle w:val="Heading2"/>
      </w:pPr>
      <w:r>
        <w:t>Service Method for Criminal Subpoenas</w:t>
      </w:r>
    </w:p>
    <w:p>
      <w:pPr>
        <w:spacing w:after="200" w:line="288" w:lineRule="auto"/>
      </w:pPr>
      <w:r>
        <w:rPr>
          <w:rFonts w:ascii="Calibri" w:hAnsi="Calibri"/>
          <w:color w:val="2d2d2d"/>
          <w:sz w:val="24"/>
        </w:rPr>
        <w:t>Criminal subpoenas are served the same way as civil subpoenas under 12 O.S. 2004.1.</w:t>
      </w:r>
    </w:p>
    <w:p>
      <w:pPr>
        <w:spacing w:after="200" w:line="288" w:lineRule="auto"/>
      </w:pPr>
      <w:r>
        <w:rPr>
          <w:rFonts w:ascii="Calibri" w:hAnsi="Calibri"/>
          <w:color w:val="2d2d2d"/>
          <w:sz w:val="24"/>
        </w:rPr>
        <w:t>22 O.S. 712: "Service of subpoenas for witnesses in criminal actions shall be made in the same manner as in civil actions pursuant to Section 2004.1 of Title 12."</w:t>
      </w:r>
    </w:p>
    <w:p>
      <w:pPr>
        <w:spacing w:after="200" w:line="288" w:lineRule="auto"/>
      </w:pPr>
      <w:r>
        <w:rPr>
          <w:rFonts w:ascii="Calibri" w:hAnsi="Calibri"/>
          <w:color w:val="2d2d2d"/>
          <w:sz w:val="24"/>
        </w:rPr>
        <w:t>This means any person age 18+ can serve a criminal subpoena. Service may also be by certified mail with return receipt requested.</w:t>
      </w:r>
    </w:p>
    <w:p>
      <w:pPr>
        <w:pStyle w:val="Heading2"/>
      </w:pPr>
      <w:r>
        <w:t>Witness Fees for Criminal Cases</w:t>
      </w:r>
    </w:p>
    <w:p>
      <w:pPr>
        <w:spacing w:after="200" w:line="288" w:lineRule="auto"/>
      </w:pPr>
      <w:r>
        <w:rPr>
          <w:rFonts w:ascii="Calibri" w:hAnsi="Calibri"/>
          <w:color w:val="2d2d2d"/>
          <w:sz w:val="24"/>
        </w:rPr>
        <w:t>Just like in civil cases, criminal subpoenas require payment of witness fees for one day's attendance plus mileage. These fees must be tendered at the time of service.</w:t>
      </w:r>
    </w:p>
    <w:p>
      <w:pPr>
        <w:pStyle w:val="Heading1"/>
      </w:pPr>
      <w:r>
        <w:t>Common Reasons Service Fails</w:t>
      </w:r>
    </w:p>
    <w:p>
      <w:pPr>
        <w:spacing w:after="200" w:line="288" w:lineRule="auto"/>
      </w:pPr>
      <w:r>
        <w:rPr>
          <w:rFonts w:ascii="Calibri" w:hAnsi="Calibri"/>
          <w:color w:val="2d2d2d"/>
          <w:sz w:val="24"/>
        </w:rPr>
        <w:t>Service of a subpoena can fail for many reasons. Learn from these common mistakes so you can avoid them.</w:t>
      </w:r>
    </w:p>
    <w:tbl>
      <w:tblPr>
        <w:tblW w:w="5000" w:type="pct"/>
        <w:tblBorders>
          <w:top w:val="single" w:color="1a2744" w:sz="12"/>
          <w:left w:val="nil"/>
          <w:bottom w:val="single" w:color="1a2744" w:sz="12"/>
          <w:right w:val="nil"/>
          <w:insideH w:val="single" w:color="cccccc" w:sz="4"/>
          <w:insideV w:val="nil"/>
        </w:tblBorders>
      </w:tblPr>
      <w:tblGrid>
        <w:gridCol w:w="2600"/>
        <w:gridCol w:w="3600"/>
        <w:gridCol w:w="2800"/>
      </w:tblGrid>
      <w:tr>
        <w:trPr>
          <w:tblHeader/>
        </w:trPr>
        <w:tc>
          <w:tcPr>
            <w:tcW w:w="2600" w:type="dxa"/>
            <w:shd w:val="clear" w:fill="1a2744"/>
          </w:tcPr>
          <w:p>
            <w:pPr>
              <w:spacing w:before="80" w:after="80"/>
              <w:jc w:val="center"/>
            </w:pPr>
            <w:r>
              <w:rPr>
                <w:b/>
                <w:color w:val="ffffff"/>
                <w:sz w:val="22"/>
              </w:rPr>
              <w:t>Reason</w:t>
            </w:r>
          </w:p>
        </w:tc>
        <w:tc>
          <w:tcPr>
            <w:tcW w:w="3600" w:type="dxa"/>
            <w:shd w:val="clear" w:fill="1a2744"/>
          </w:tcPr>
          <w:p>
            <w:pPr>
              <w:spacing w:before="80" w:after="80"/>
              <w:jc w:val="center"/>
            </w:pPr>
            <w:r>
              <w:rPr>
                <w:b/>
                <w:color w:val="ffffff"/>
                <w:sz w:val="22"/>
              </w:rPr>
              <w:t>What Happened</w:t>
            </w:r>
          </w:p>
        </w:tc>
        <w:tc>
          <w:tcPr>
            <w:tcW w:w="2800" w:type="dxa"/>
            <w:shd w:val="clear" w:fill="1a2744"/>
          </w:tcPr>
          <w:p>
            <w:pPr>
              <w:spacing w:before="80" w:after="80"/>
              <w:jc w:val="center"/>
            </w:pPr>
            <w:r>
              <w:rPr>
                <w:b/>
                <w:color w:val="ffffff"/>
                <w:sz w:val="22"/>
              </w:rPr>
              <w:t>How to Prevent It</w:t>
            </w:r>
          </w:p>
        </w:tc>
      </w:tr>
      <w:tr>
        <w:tc>
          <w:tcPr>
            <w:tcW w:w="2600" w:type="dxa"/>
          </w:tcPr>
          <w:p>
            <w:pPr>
              <w:spacing w:before="60" w:after="60"/>
              <w:jc w:val="left"/>
            </w:pPr>
            <w:r>
              <w:rPr>
                <w:color w:val="2d2d2d"/>
                <w:sz w:val="22"/>
              </w:rPr>
              <w:t>Wrong address</w:t>
            </w:r>
          </w:p>
        </w:tc>
        <w:tc>
          <w:tcPr>
            <w:tcW w:w="3600" w:type="dxa"/>
          </w:tcPr>
          <w:p>
            <w:pPr>
              <w:spacing w:before="60" w:after="60"/>
              <w:jc w:val="left"/>
            </w:pPr>
            <w:r>
              <w:rPr>
                <w:color w:val="2d2d2d"/>
                <w:sz w:val="22"/>
              </w:rPr>
              <w:t>Witness moved and did not update address</w:t>
            </w:r>
          </w:p>
        </w:tc>
        <w:tc>
          <w:tcPr>
            <w:tcW w:w="2800" w:type="dxa"/>
          </w:tcPr>
          <w:p>
            <w:pPr>
              <w:spacing w:before="60" w:after="60"/>
              <w:jc w:val="left"/>
            </w:pPr>
            <w:r>
              <w:rPr>
                <w:color w:val="2d2d2d"/>
                <w:sz w:val="22"/>
              </w:rPr>
              <w:t>Use skip tracing to find current address</w:t>
            </w:r>
          </w:p>
        </w:tc>
      </w:tr>
      <w:tr>
        <w:tc>
          <w:tcPr>
            <w:tcW w:w="2600" w:type="dxa"/>
            <w:shd w:val="clear" w:fill="f5f5f5"/>
          </w:tcPr>
          <w:p>
            <w:pPr>
              <w:spacing w:before="60" w:after="60"/>
              <w:jc w:val="left"/>
            </w:pPr>
            <w:r>
              <w:rPr>
                <w:color w:val="2d2d2d"/>
                <w:sz w:val="22"/>
              </w:rPr>
              <w:t>Witness evades service</w:t>
            </w:r>
          </w:p>
        </w:tc>
        <w:tc>
          <w:tcPr>
            <w:tcW w:w="3600" w:type="dxa"/>
            <w:shd w:val="clear" w:fill="f5f5f5"/>
          </w:tcPr>
          <w:p>
            <w:pPr>
              <w:spacing w:before="60" w:after="60"/>
              <w:jc w:val="left"/>
            </w:pPr>
            <w:r>
              <w:rPr>
                <w:color w:val="2d2d2d"/>
                <w:sz w:val="22"/>
              </w:rPr>
              <w:t>Witness avoids answering door or phone</w:t>
            </w:r>
          </w:p>
        </w:tc>
        <w:tc>
          <w:tcPr>
            <w:tcW w:w="2800" w:type="dxa"/>
            <w:shd w:val="clear" w:fill="f5f5f5"/>
          </w:tcPr>
          <w:p>
            <w:pPr>
              <w:spacing w:before="60" w:after="60"/>
              <w:jc w:val="left"/>
            </w:pPr>
            <w:r>
              <w:rPr>
                <w:color w:val="2d2d2d"/>
                <w:sz w:val="22"/>
              </w:rPr>
              <w:t>Try service at different times of day</w:t>
            </w:r>
          </w:p>
        </w:tc>
      </w:tr>
      <w:tr>
        <w:tc>
          <w:tcPr>
            <w:tcW w:w="2600" w:type="dxa"/>
          </w:tcPr>
          <w:p>
            <w:pPr>
              <w:spacing w:before="60" w:after="60"/>
              <w:jc w:val="left"/>
            </w:pPr>
            <w:r>
              <w:rPr>
                <w:color w:val="2d2d2d"/>
                <w:sz w:val="22"/>
              </w:rPr>
              <w:t>No witness fees tendered</w:t>
            </w:r>
          </w:p>
        </w:tc>
        <w:tc>
          <w:tcPr>
            <w:tcW w:w="3600" w:type="dxa"/>
          </w:tcPr>
          <w:p>
            <w:pPr>
              <w:spacing w:before="60" w:after="60"/>
              <w:jc w:val="left"/>
            </w:pPr>
            <w:r>
              <w:rPr>
                <w:color w:val="2d2d2d"/>
                <w:sz w:val="22"/>
              </w:rPr>
              <w:t>Failed to offer payment at service</w:t>
            </w:r>
          </w:p>
        </w:tc>
        <w:tc>
          <w:tcPr>
            <w:tcW w:w="2800" w:type="dxa"/>
          </w:tcPr>
          <w:p>
            <w:pPr>
              <w:spacing w:before="60" w:after="60"/>
              <w:jc w:val="left"/>
            </w:pPr>
            <w:r>
              <w:rPr>
                <w:color w:val="2d2d2d"/>
                <w:sz w:val="22"/>
              </w:rPr>
              <w:t>Always have exact cash or check ready</w:t>
            </w:r>
          </w:p>
        </w:tc>
      </w:tr>
      <w:tr>
        <w:tc>
          <w:tcPr>
            <w:tcW w:w="2600" w:type="dxa"/>
            <w:shd w:val="clear" w:fill="f5f5f5"/>
          </w:tcPr>
          <w:p>
            <w:pPr>
              <w:spacing w:before="60" w:after="60"/>
              <w:jc w:val="left"/>
            </w:pPr>
            <w:r>
              <w:rPr>
                <w:color w:val="2d2d2d"/>
                <w:sz w:val="22"/>
              </w:rPr>
              <w:t>Certified mail refused</w:t>
            </w:r>
          </w:p>
        </w:tc>
        <w:tc>
          <w:tcPr>
            <w:tcW w:w="3600" w:type="dxa"/>
            <w:shd w:val="clear" w:fill="f5f5f5"/>
          </w:tcPr>
          <w:p>
            <w:pPr>
              <w:spacing w:before="60" w:after="60"/>
              <w:jc w:val="left"/>
            </w:pPr>
            <w:r>
              <w:rPr>
                <w:color w:val="2d2d2d"/>
                <w:sz w:val="22"/>
              </w:rPr>
              <w:t>Witness refused to sign for mail</w:t>
            </w:r>
          </w:p>
        </w:tc>
        <w:tc>
          <w:tcPr>
            <w:tcW w:w="2800" w:type="dxa"/>
            <w:shd w:val="clear" w:fill="f5f5f5"/>
          </w:tcPr>
          <w:p>
            <w:pPr>
              <w:spacing w:before="60" w:after="60"/>
              <w:jc w:val="left"/>
            </w:pPr>
            <w:r>
              <w:rPr>
                <w:color w:val="2d2d2d"/>
                <w:sz w:val="22"/>
              </w:rPr>
              <w:t>Use personal delivery instead</w:t>
            </w:r>
          </w:p>
        </w:tc>
      </w:tr>
      <w:tr>
        <w:tc>
          <w:tcPr>
            <w:tcW w:w="2600" w:type="dxa"/>
          </w:tcPr>
          <w:p>
            <w:pPr>
              <w:spacing w:before="60" w:after="60"/>
              <w:jc w:val="left"/>
            </w:pPr>
            <w:r>
              <w:rPr>
                <w:color w:val="2d2d2d"/>
                <w:sz w:val="22"/>
              </w:rPr>
              <w:t>Subpoena not signed/sealed</w:t>
            </w:r>
          </w:p>
        </w:tc>
        <w:tc>
          <w:tcPr>
            <w:tcW w:w="3600" w:type="dxa"/>
          </w:tcPr>
          <w:p>
            <w:pPr>
              <w:spacing w:before="60" w:after="60"/>
              <w:jc w:val="left"/>
            </w:pPr>
            <w:r>
              <w:rPr>
                <w:color w:val="2d2d2d"/>
                <w:sz w:val="22"/>
              </w:rPr>
              <w:t>Clerk or attorney did not sign</w:t>
            </w:r>
          </w:p>
        </w:tc>
        <w:tc>
          <w:tcPr>
            <w:tcW w:w="2800" w:type="dxa"/>
          </w:tcPr>
          <w:p>
            <w:pPr>
              <w:spacing w:before="60" w:after="60"/>
              <w:jc w:val="left"/>
            </w:pPr>
            <w:r>
              <w:rPr>
                <w:color w:val="2d2d2d"/>
                <w:sz w:val="22"/>
              </w:rPr>
              <w:t>Check subpoena before leaving court</w:t>
            </w:r>
          </w:p>
        </w:tc>
      </w:tr>
      <w:tr>
        <w:tc>
          <w:tcPr>
            <w:tcW w:w="2600" w:type="dxa"/>
            <w:shd w:val="clear" w:fill="f5f5f5"/>
          </w:tcPr>
          <w:p>
            <w:pPr>
              <w:spacing w:before="60" w:after="60"/>
              <w:jc w:val="left"/>
            </w:pPr>
            <w:r>
              <w:rPr>
                <w:color w:val="2d2d2d"/>
                <w:sz w:val="22"/>
              </w:rPr>
              <w:t>Wrong person served</w:t>
            </w:r>
          </w:p>
        </w:tc>
        <w:tc>
          <w:tcPr>
            <w:tcW w:w="3600" w:type="dxa"/>
            <w:shd w:val="clear" w:fill="f5f5f5"/>
          </w:tcPr>
          <w:p>
            <w:pPr>
              <w:spacing w:before="60" w:after="60"/>
              <w:jc w:val="left"/>
            </w:pPr>
            <w:r>
              <w:rPr>
                <w:color w:val="2d2d2d"/>
                <w:sz w:val="22"/>
              </w:rPr>
              <w:t>Served a family member with same name</w:t>
            </w:r>
          </w:p>
        </w:tc>
        <w:tc>
          <w:tcPr>
            <w:tcW w:w="2800" w:type="dxa"/>
            <w:shd w:val="clear" w:fill="f5f5f5"/>
          </w:tcPr>
          <w:p>
            <w:pPr>
              <w:spacing w:before="60" w:after="60"/>
              <w:jc w:val="left"/>
            </w:pPr>
            <w:r>
              <w:rPr>
                <w:color w:val="2d2d2d"/>
                <w:sz w:val="22"/>
              </w:rPr>
              <w:t>Verify full legal name and birth date</w:t>
            </w:r>
          </w:p>
        </w:tc>
      </w:tr>
      <w:tr>
        <w:tc>
          <w:tcPr>
            <w:tcW w:w="2600" w:type="dxa"/>
          </w:tcPr>
          <w:p>
            <w:pPr>
              <w:spacing w:before="60" w:after="60"/>
              <w:jc w:val="left"/>
            </w:pPr>
            <w:r>
              <w:rPr>
                <w:color w:val="2d2d2d"/>
                <w:sz w:val="22"/>
              </w:rPr>
              <w:t>Service too late</w:t>
            </w:r>
          </w:p>
        </w:tc>
        <w:tc>
          <w:tcPr>
            <w:tcW w:w="3600" w:type="dxa"/>
          </w:tcPr>
          <w:p>
            <w:pPr>
              <w:spacing w:before="60" w:after="60"/>
              <w:jc w:val="left"/>
            </w:pPr>
            <w:r>
              <w:rPr>
                <w:color w:val="2d2d2d"/>
                <w:sz w:val="22"/>
              </w:rPr>
              <w:t>Subpoena served too close to trial</w:t>
            </w:r>
          </w:p>
        </w:tc>
        <w:tc>
          <w:tcPr>
            <w:tcW w:w="2800" w:type="dxa"/>
          </w:tcPr>
          <w:p>
            <w:pPr>
              <w:spacing w:before="60" w:after="60"/>
              <w:jc w:val="left"/>
            </w:pPr>
            <w:r>
              <w:rPr>
                <w:color w:val="2d2d2d"/>
                <w:sz w:val="22"/>
              </w:rPr>
              <w:t>Serve at least 7-10 days before hearing</w:t>
            </w:r>
          </w:p>
        </w:tc>
      </w:tr>
      <w:tr>
        <w:tc>
          <w:tcPr>
            <w:tcW w:w="2600" w:type="dxa"/>
            <w:shd w:val="clear" w:fill="f5f5f5"/>
          </w:tcPr>
          <w:p>
            <w:pPr>
              <w:spacing w:before="60" w:after="60"/>
              <w:jc w:val="left"/>
            </w:pPr>
            <w:r>
              <w:rPr>
                <w:color w:val="2d2d2d"/>
                <w:sz w:val="22"/>
              </w:rPr>
              <w:t>Affidavit filed late</w:t>
            </w:r>
          </w:p>
        </w:tc>
        <w:tc>
          <w:tcPr>
            <w:tcW w:w="3600" w:type="dxa"/>
            <w:shd w:val="clear" w:fill="f5f5f5"/>
          </w:tcPr>
          <w:p>
            <w:pPr>
              <w:spacing w:before="60" w:after="60"/>
              <w:jc w:val="left"/>
            </w:pPr>
            <w:r>
              <w:rPr>
                <w:color w:val="2d2d2d"/>
                <w:sz w:val="22"/>
              </w:rPr>
              <w:t>Return not filed promptly</w:t>
            </w:r>
          </w:p>
        </w:tc>
        <w:tc>
          <w:tcPr>
            <w:tcW w:w="2800" w:type="dxa"/>
            <w:shd w:val="clear" w:fill="f5f5f5"/>
          </w:tcPr>
          <w:p>
            <w:pPr>
              <w:spacing w:before="60" w:after="60"/>
              <w:jc w:val="left"/>
            </w:pPr>
            <w:r>
              <w:rPr>
                <w:color w:val="2d2d2d"/>
                <w:sz w:val="22"/>
              </w:rPr>
              <w:t>File affidavit within 1-2 days of service</w:t>
            </w:r>
          </w:p>
        </w:tc>
      </w:tr>
    </w:tbl>
    <w:p>
      <w:pPr>
        <w:pStyle w:val="Heading1"/>
      </w:pPr>
      <w:r>
        <w:t>What to Do If Service Fails</w:t>
      </w:r>
    </w:p>
    <w:p>
      <w:pPr>
        <w:spacing w:after="200" w:line="288" w:lineRule="auto"/>
      </w:pPr>
      <w:r>
        <w:rPr>
          <w:rFonts w:ascii="Calibri" w:hAnsi="Calibri"/>
          <w:color w:val="2d2d2d"/>
          <w:sz w:val="24"/>
        </w:rPr>
        <w:t>If you cannot serve the subpoena on the first try, do not give up. You have options.</w:t>
      </w:r>
    </w:p>
    <w:p>
      <w:pPr>
        <w:pStyle w:val="Heading2"/>
      </w:pPr>
      <w:r>
        <w:t>Option 1: Make More Attempts</w:t>
      </w:r>
    </w:p>
    <w:p>
      <w:pPr>
        <w:spacing w:after="200" w:line="288" w:lineRule="auto"/>
      </w:pPr>
      <w:r>
        <w:rPr>
          <w:rFonts w:ascii="Calibri" w:hAnsi="Calibri"/>
          <w:color w:val="2d2d2d"/>
          <w:sz w:val="24"/>
        </w:rPr>
        <w:t>Try again at a different time of day. Try on a weekend. Try at the witness's workplace (if allowed). Oklahoma law requires "diligent efforts" before you can use other methods.</w:t>
      </w:r>
    </w:p>
    <w:p>
      <w:pPr>
        <w:spacing w:after="200" w:line="288" w:lineRule="auto"/>
      </w:pPr>
      <w:r>
        <w:rPr>
          <w:rFonts w:ascii="Calibri" w:hAnsi="Calibri"/>
          <w:color w:val="2d2d2d"/>
          <w:sz w:val="24"/>
        </w:rPr>
        <w:t>Oklahoma Administrative Code defines diligent efforts as at least three repeated attempts at different times of day or on different days.</w:t>
      </w:r>
    </w:p>
    <w:p>
      <w:pPr>
        <w:pStyle w:val="Heading2"/>
      </w:pPr>
      <w:r>
        <w:t>Option 2: Try a Different Service Method</w:t>
      </w:r>
    </w:p>
    <w:p>
      <w:pPr>
        <w:spacing w:after="200" w:line="288" w:lineRule="auto"/>
      </w:pPr>
      <w:r>
        <w:rPr>
          <w:rFonts w:ascii="Calibri" w:hAnsi="Calibri"/>
          <w:color w:val="2d2d2d"/>
          <w:sz w:val="24"/>
        </w:rPr>
        <w:t>If personal delivery did not work, try certified mail. If certified mail was refused, go back to personal delivery. You can also use a commercial courier service.</w:t>
      </w:r>
    </w:p>
    <w:p>
      <w:pPr>
        <w:spacing w:after="200" w:line="288" w:lineRule="auto"/>
      </w:pPr>
      <w:r>
        <w:rPr>
          <w:rFonts w:ascii="Calibri" w:hAnsi="Calibri"/>
          <w:color w:val="2d2d2d"/>
          <w:sz w:val="24"/>
        </w:rPr>
        <w:t>12 O.S. 2004.3 allows alternate delivery by commercial courier or overnight delivery with a written receipt.</w:t>
      </w:r>
    </w:p>
    <w:p>
      <w:pPr>
        <w:pStyle w:val="Heading2"/>
      </w:pPr>
      <w:r>
        <w:t>Option 3: Ask the Court for Help</w:t>
      </w:r>
    </w:p>
    <w:p>
      <w:pPr>
        <w:spacing w:after="200" w:line="288" w:lineRule="auto"/>
      </w:pPr>
      <w:r>
        <w:rPr>
          <w:rFonts w:ascii="Calibri" w:hAnsi="Calibri"/>
          <w:color w:val="2d2d2d"/>
          <w:sz w:val="24"/>
        </w:rPr>
        <w:t>If you still cannot serve the subpoena, file a motion with the court. Ask the court to:</w:t>
      </w:r>
    </w:p>
    <w:p>
      <w:pPr>
        <w:numPr>
          <w:ilvl w:val="0"/>
          <w:numId w:val="2"/>
        </w:numPr>
        <w:spacing w:after="120"/>
      </w:pPr>
      <w:r>
        <w:rPr>
          <w:rFonts w:ascii="Calibri" w:hAnsi="Calibri"/>
          <w:color w:val="2d2d2d"/>
          <w:sz w:val="24"/>
        </w:rPr>
        <w:t>Allow service by another method (such as publication)</w:t>
      </w:r>
    </w:p>
    <w:p>
      <w:pPr>
        <w:numPr>
          <w:ilvl w:val="0"/>
          <w:numId w:val="2"/>
        </w:numPr>
        <w:spacing w:after="120"/>
      </w:pPr>
      <w:r>
        <w:rPr>
          <w:rFonts w:ascii="Calibri" w:hAnsi="Calibri"/>
          <w:color w:val="2d2d2d"/>
          <w:sz w:val="24"/>
        </w:rPr>
        <w:t>Order the witness to accept electronic service</w:t>
      </w:r>
    </w:p>
    <w:p>
      <w:pPr>
        <w:numPr>
          <w:ilvl w:val="0"/>
          <w:numId w:val="2"/>
        </w:numPr>
        <w:spacing w:after="120"/>
      </w:pPr>
      <w:r>
        <w:rPr>
          <w:rFonts w:ascii="Calibri" w:hAnsi="Calibri"/>
          <w:color w:val="2d2d2d"/>
          <w:sz w:val="24"/>
        </w:rPr>
        <w:t>Issue an order to show cause why the witness should not be held in contempt</w:t>
      </w:r>
    </w:p>
    <w:p>
      <w:pPr>
        <w:spacing w:after="200" w:line="288" w:lineRule="auto"/>
      </w:pPr>
      <w:r>
        <w:rPr>
          <w:rFonts w:ascii="Calibri" w:hAnsi="Calibri"/>
          <w:color w:val="2d2d2d"/>
          <w:sz w:val="24"/>
        </w:rPr>
        <w:t>12 O.S. 2004(C)(6): "If service cannot be made by personal delivery or by mail, a defendant may be served as provided by court order in a manner which is reasonably calculated to give actual notice."</w:t>
      </w:r>
    </w:p>
    <w:p>
      <w:pPr>
        <w:pStyle w:val="Heading2"/>
      </w:pPr>
      <w:r>
        <w:t>Option 4: Subpoena Someone Else</w:t>
      </w:r>
    </w:p>
    <w:p>
      <w:pPr>
        <w:spacing w:after="200" w:line="288" w:lineRule="auto"/>
      </w:pPr>
      <w:r>
        <w:rPr>
          <w:rFonts w:ascii="Calibri" w:hAnsi="Calibri"/>
          <w:color w:val="2d2d2d"/>
          <w:sz w:val="24"/>
        </w:rPr>
        <w:t>If the witness cannot be found, you may need to subpoena a different witness. Or you may need to ask the court for a continuance (a new trial date) to allow more time for service.</w:t>
      </w:r>
    </w:p>
    <w:p>
      <w:pPr>
        <w:spacing w:before="600"/>
      </w:pPr>
    </w:p>
    <w:p>
      <w:pPr>
        <w:pBdr>
          <w:top w:val="single" w:color="d4a017" w:sz="4" w:space="8"/>
        </w:pBdr>
        <w:jc w:val="center"/>
      </w:pPr>
      <w:r>
        <w:rPr>
          <w:i/>
          <w:color w:val="555555"/>
          <w:sz w:val="18"/>
        </w:rPr>
        <w:t>This guide provides procedural information only. It is not legal advice.</w:t>
      </w:r>
    </w:p>
    <w:p>
      <w:pPr>
        <w:sectPr>
          <w:headerReference w:type="default" r:id="R0bd038fcfd7541be"/>
          <w:footerReference w:type="default" r:id="Re596902892b842ca"/>
          <w:pgSz w:w="12240" w:h="15840"/>
          <w:pgMar w:top="1440" w:right="1440" w:bottom="1440" w:left="1440" w:header="720" w:footer="720"/>
        </w:sectPr>
      </w:pPr>
    </w:p>
    <w:p>
      <w:pPr>
        <w:spacing w:before="3000"/>
      </w:pPr>
    </w:p>
    <w:p>
      <w:pPr>
        <w:spacing w:after="400"/>
        <w:jc w:val="center"/>
      </w:pPr>
      <w:r>
        <w:rPr>
          <w:b/>
          <w:color w:val="1a2744"/>
          <w:sz w:val="36"/>
        </w:rPr>
        <w:t>Important Disclaimer</w:t>
      </w:r>
    </w:p>
    <w:p>
      <w:pPr>
        <w:spacing w:after="400"/>
        <w:jc w:val="center"/>
      </w:pPr>
      <w:r>
        <w:rPr>
          <w:color w:val="2d2d2d"/>
          <w:sz w:val="24"/>
        </w:rPr>
        <w:t>Not a law firm. This document provides procedural information only.</w:t>
      </w:r>
    </w:p>
    <w:p>
      <w:pPr>
        <w:spacing w:after="200"/>
        <w:jc w:val="center"/>
      </w:pPr>
      <w:r>
        <w:rPr>
          <w:color w:val="555555"/>
          <w:sz w:val="20"/>
        </w:rPr>
        <w:t>Verify all statutes, deadlines, and fees with the court before relying on this information.</w:t>
      </w:r>
    </w:p>
    <w:p>
      <w:pPr>
        <w:spacing w:before="2000"/>
      </w:pPr>
    </w:p>
    <w:p>
      <w:pPr>
        <w:spacing w:after="100"/>
        <w:jc w:val="center"/>
      </w:pPr>
      <w:r>
        <w:rPr>
          <w:b/>
          <w:color w:val="1a2744"/>
          <w:sz w:val="24"/>
        </w:rPr>
        <w:t>Just Legal Solutions</w:t>
      </w:r>
    </w:p>
    <w:p>
      <w:pPr>
        <w:spacing w:after="60"/>
        <w:jc w:val="center"/>
      </w:pPr>
      <w:r>
        <w:rPr>
          <w:color w:val="555555"/>
          <w:sz w:val="20"/>
        </w:rPr>
        <w:t>(539) 367-6832</w:t>
      </w:r>
    </w:p>
    <w:p>
      <w:pPr>
        <w:spacing w:after="60"/>
        <w:jc w:val="center"/>
      </w:pPr>
      <w:r>
        <w:rPr>
          <w:color w:val="555555"/>
          <w:sz w:val="20"/>
        </w:rPr>
        <w:t>info@JustLegalSolutions.org</w:t>
      </w:r>
    </w:p>
    <w:p>
      <w:pPr>
        <w:spacing w:after="60"/>
        <w:jc w:val="center"/>
      </w:pPr>
      <w:r>
        <w:rPr>
          <w:color w:val="555555"/>
          <w:sz w:val="20"/>
        </w:rPr>
        <w:t>justlegalsolutions.org</w:t>
      </w:r>
    </w:p>
    <w:p>
      <w:pPr>
        <w:spacing w:after="60"/>
        <w:jc w:val="center"/>
      </w:pPr>
      <w:r>
        <w:rPr>
          <w:color w:val="555555"/>
          <w:sz w:val="20"/>
        </w:rPr>
        <w:t>Joseph Iannazzi, NAPPS #14801</w:t>
      </w:r>
    </w:p>
    <w:p>
      <w:pPr>
        <w:spacing w:before="1200"/>
      </w:pPr>
    </w:p>
    <w:p>
      <w:pPr>
        <w:spacing w:after="40"/>
        <w:jc w:val="center"/>
      </w:pPr>
      <w:r>
        <w:rPr>
          <w:color w:val="777777"/>
          <w:sz w:val="18"/>
        </w:rPr>
        <w:t>Version: v1.0 · 2026-04-20 · Verify before relying on procedural details</w:t>
      </w:r>
    </w:p>
    <w:p>
      <w:pPr>
        <w:jc w:val="center"/>
      </w:pPr>
      <w:r>
        <w:rPr>
          <w:color w:val="777777"/>
          <w:sz w:val="18"/>
        </w:rPr>
        <w:t>Next review date: 2026-10-20</w:t>
      </w:r>
    </w:p>
    <w:sectPr>
      <w:pgSz w:w="12240" w:h="15840"/>
      <w:pgMar w:top="1440" w:right="1440" w:bottom="1440" w:left="1440" w:header="720" w:footer="720"/>
    </w:sectPr>
  </w:body>
</w:document>
</file>

<file path=word/footer1.xml><?xml version="1.0" encoding="utf-8"?>
<w:ftr xmlns:w="http://schemas.openxmlformats.org/wordprocessingml/2006/main">
  <w:p>
    <w:pPr>
      <w:pBdr>
        <w:top w:val="single" w:color="d4a017" w:sz="4" w:space="4"/>
      </w:pBdr>
      <w:jc w:val="center"/>
    </w:pPr>
    <w:r>
      <w:rPr>
        <w:color w:val="555555"/>
        <w:sz w:val="16"/>
      </w:rPr>
      <w:t>Just Legal Solutions · (539) 367-6832 · info@JustLegalSolutions.org · justlegalsolutions.org · Joseph Iannazzi, NAPPS #14801</w:t>
    </w:r>
  </w:p>
  <w:p>
    <w:pPr>
      <w:jc w:val="center"/>
    </w:pPr>
    <w:r>
      <w:rPr>
        <w:color w:val="555555"/>
        <w:sz w:val="16"/>
      </w:rPr>
      <w:t xml:space="preserve">Page </w:t>
    </w:r>
    <w:r>
      <w:rPr>
        <w:color w:val="555555"/>
        <w:sz w:val="16"/>
      </w:rPr>
      <w:fldChar w:fldCharType="begin"/>
    </w:r>
    <w:r>
      <w:rPr>
        <w:color w:val="555555"/>
        <w:sz w:val="16"/>
      </w:rPr>
      <w:instrText xml:space="preserve"> PAGE </w:instrText>
    </w:r>
    <w:r>
      <w:rPr>
        <w:color w:val="555555"/>
        <w:sz w:val="16"/>
      </w:rPr>
      <w:fldChar w:fldCharType="separate"/>
    </w:r>
    <w:r>
      <w:rPr>
        <w:color w:val="555555"/>
        <w:sz w:val="16"/>
      </w:rPr>
      <w:t>1</w:t>
    </w:r>
    <w:r>
      <w:rPr>
        <w:color w:val="555555"/>
        <w:sz w:val="16"/>
      </w:rPr>
      <w:fldChar w:fldCharType="end"/>
    </w:r>
    <w:r>
      <w:rPr>
        <w:color w:val="555555"/>
        <w:sz w:val="16"/>
      </w:rPr>
      <w:t xml:space="preserve"> · v1.0 · 2026-04-20 · Next review: 2026-10-20</w:t>
    </w:r>
  </w:p>
</w:ftr>
</file>

<file path=word/header1.xml><?xml version="1.0" encoding="utf-8"?>
<w:hdr xmlns:w="http://schemas.openxmlformats.org/wordprocessingml/2006/main">
  <w:p>
    <w:pPr>
      <w:pBdr>
        <w:bottom w:val="single" w:color="d4a017" w:sz="6" w:space="4"/>
      </w:pBdr>
      <w:jc w:val="right"/>
    </w:pPr>
    <w:r>
      <w:rPr>
        <w:b/>
        <w:color w:val="1a2744"/>
        <w:sz w:val="18"/>
      </w:rPr>
      <w:t>How to Serve a Subpoena in Oklahoma</w:t>
    </w:r>
  </w:p>
</w:hdr>
</file>

<file path=word/numbering.xml><?xml version="1.0" encoding="utf-8"?>
<w:numbering xmlns:w="http://schemas.openxmlformats.org/wordprocessingml/2006/main">
  <w:abstractNum w:abstractNumId="1">
    <w:lvl w:ilvl="0">
      <w:numFmt w:val="decimal"/>
      <w:lvlText w:val="%1."/>
      <w:lvlJc w:val="left"/>
      <w:pPr>
        <w:ind w:left="720" w:hanging="360"/>
      </w:pPr>
    </w:lvl>
  </w:abstractNum>
  <w:abstractNum w:abstractNumId="2">
    <w:lvl w:ilvl="0">
      <w:numFmt w:val="bullet"/>
      <w:lvlText w:val="•"/>
      <w:lvlJc w:val="left"/>
      <w:pPr>
        <w:ind w:left="720" w:hanging="360"/>
      </w:pPr>
      <w:rPr>
        <w:rFonts w:ascii="Symbol" w:hAnsi="Symbol"/>
      </w:rPr>
    </w:lvl>
  </w:abstractNum>
  <w:abstractNum w:abstractNumId="3">
    <w:lvl w:ilvl="0">
      <w:numFmt w:val="bullet"/>
      <w:lvlText w:val="☐"/>
      <w:lvlJc w:val="left"/>
      <w:pPr>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200" w:line="288" w:lineRule="auto"/>
    </w:pPr>
    <w:rPr>
      <w:rFonts w:ascii="Calibri" w:hAnsi="Calibri" w:eastAsia="Calibri"/>
      <w:color w:val="2d2d2d"/>
      <w:sz w:val="24"/>
    </w:rPr>
  </w:style>
  <w:style w:type="paragraph" w:styleId="Heading1">
    <w:name w:val="heading 1"/>
    <w:basedOn w:val="Normal"/>
    <w:pPr>
      <w:keepNext/>
      <w:keepLines/>
      <w:spacing w:before="480" w:after="240"/>
      <w:outlineLvl w:val="0"/>
    </w:pPr>
    <w:rPr>
      <w:rFonts w:ascii="Calibri" w:hAnsi="Calibri"/>
      <w:b/>
      <w:color w:val="1a2744"/>
      <w:sz w:val="36"/>
    </w:rPr>
  </w:style>
  <w:style w:type="paragraph" w:styleId="Heading2">
    <w:name w:val="heading 2"/>
    <w:basedOn w:val="Normal"/>
    <w:pPr>
      <w:keepNext/>
      <w:keepLines/>
      <w:spacing w:before="360" w:after="160"/>
      <w:outlineLvl w:val="1"/>
    </w:pPr>
    <w:rPr>
      <w:rFonts w:ascii="Calibri" w:hAnsi="Calibri"/>
      <w:b/>
      <w:color w:val="1a2744"/>
      <w:sz w:val="28"/>
    </w:rPr>
  </w:style>
  <w:style w:type="paragraph" w:styleId="Heading3">
    <w:name w:val="heading 3"/>
    <w:basedOn w:val="Normal"/>
    <w:pPr>
      <w:keepNext/>
      <w:keepLines/>
      <w:spacing w:before="280" w:after="120"/>
      <w:outlineLvl w:val="2"/>
    </w:pPr>
    <w:rPr>
      <w:rFonts w:ascii="Calibri" w:hAnsi="Calibri"/>
      <w:b/>
      <w:color w:val="d4a017"/>
      <w:sz w:val="26"/>
    </w:rPr>
  </w:style>
  <w:style w:type="paragraph" w:styleId="TOC1">
    <w:name w:val="toc 1"/>
    <w:basedOn w:val="Normal"/>
    <w:pPr>
      <w:tabs>
        <w:tab w:val="right" w:leader="dot" w:pos="9350"/>
      </w:tabs>
      <w:spacing w:before="120" w:after="60"/>
    </w:pPr>
    <w:rPr>
      <w:b/>
      <w:color w:val="2d2d2d"/>
    </w:rPr>
  </w:style>
  <w:style w:type="paragraph" w:styleId="TOC2">
    <w:name w:val="toc 2"/>
    <w:basedOn w:val="Normal"/>
    <w:pPr>
      <w:tabs>
        <w:tab w:val="right" w:leader="dot" w:pos="9350"/>
      </w:tabs>
      <w:spacing w:before="60" w:after="40"/>
      <w:ind w:left="360"/>
    </w:pPr>
    <w:rPr>
      <w:color w:val="555555"/>
    </w:rPr>
  </w:style>
</w:styles>
</file>

<file path=word/_rels/document.xml.rels><?xml version='1.0' encoding='UTF-8'?>
<Relationships xmlns="http://schemas.openxmlformats.org/package/2006/relationships"><Relationship Type="http://schemas.openxmlformats.org/officeDocument/2006/relationships/styles" Target="styles.xml" Id="R9d1ab727fdcd44af" /><Relationship Type="http://schemas.openxmlformats.org/officeDocument/2006/relationships/numbering" Target="numbering.xml" Id="R09b0c331fc31452b" /><Relationship Type="http://schemas.openxmlformats.org/officeDocument/2006/relationships/image" Target="media/image.png" Id="R3474f750e1a446a6" /><Relationship Type="http://schemas.openxmlformats.org/officeDocument/2006/relationships/header" Target="header1.xml" Id="R0bd038fcfd7541be" /><Relationship Type="http://schemas.openxmlformats.org/officeDocument/2006/relationships/footer" Target="footer1.xml" Id="Re596902892b842ca" /><Relationship Type="http://schemas.openxmlformats.org/officeDocument/2006/relationships/settings" Target="settings.xml" Id="R41a40d3d46fe4a55" /></Relationships>
</file>