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0db4d90898824bfb" /></Relationships>
</file>

<file path=word/document.xml><?xml version="1.0" encoding="utf-8"?>
<w:document xmlns:r="http://schemas.openxmlformats.org/officeDocument/2006/relationships" xmlns:w="http://schemas.openxmlformats.org/wordprocessingml/2006/main">
  <w:body>
    <w:p>
      <w:pPr>
        <w:shd w:val="clear" w:fill="d4a017"/>
        <w:spacing w:before="0" w:after="0" w:line="600" w:lineRule="exact"/>
      </w:pPr>
      <w:r/>
    </w:p>
    <w:p>
      <w:pPr>
        <w:spacing w:before="2400"/>
      </w:pPr>
      <w:r/>
    </w:p>
    <w:p>
      <w:pPr>
        <w:spacing w:after="200"/>
        <w:jc w:val="center"/>
      </w:pPr>
      <w:r>
        <w:rPr>
          <w:rFonts w:ascii="Calibri" w:hAnsi="Calibri"/>
          <w:b/>
          <w:color w:val="d4a017"/>
          <w:sz w:val="28"/>
        </w:rPr>
        <w:t>JUST LEGAL SOLUTIONS</w:t>
      </w:r>
    </w:p>
    <w:p>
      <w:pPr>
        <w:spacing w:after="1200"/>
        <w:jc w:val="center"/>
      </w:pPr>
      <w:r>
        <w:rPr>
          <w:color w:val="555555"/>
          <w:sz w:val="20"/>
        </w:rPr>
        <w:t>Oklahoma Process Serving  |  NAPPS #14801</w:t>
      </w:r>
    </w:p>
    <w:p>
      <w:pPr>
        <w:spacing w:after="200"/>
        <w:jc w:val="center"/>
      </w:pPr>
      <w:r>
        <w:rPr>
          <w:rFonts w:ascii="Calibri" w:hAnsi="Calibri"/>
          <w:b/>
          <w:color w:val="1a2744"/>
          <w:sz w:val="72"/>
        </w:rPr>
        <w:t>How to Serve an</w:t>
      </w:r>
    </w:p>
    <w:p>
      <w:pPr>
        <w:spacing w:after="400"/>
        <w:jc w:val="center"/>
      </w:pPr>
      <w:r>
        <w:rPr>
          <w:rFonts w:ascii="Calibri" w:hAnsi="Calibri"/>
          <w:b/>
          <w:color w:val="1a2744"/>
          <w:sz w:val="72"/>
        </w:rPr>
        <w:t>Eviction Notice</w:t>
      </w:r>
    </w:p>
    <w:p>
      <w:pPr>
        <w:spacing w:after="200"/>
        <w:jc w:val="center"/>
      </w:pPr>
      <w:r>
        <w:rPr>
          <w:color w:val="d4a017"/>
          <w:sz w:val="28"/>
        </w:rPr>
        <w:t>In Oklahoma</w:t>
      </w:r>
    </w:p>
    <w:p>
      <w:pPr>
        <w:spacing w:after="600"/>
        <w:jc w:val="center"/>
      </w:pPr>
      <w:r>
        <w:rPr>
          <w:color w:val="555555"/>
          <w:sz w:val="24"/>
        </w:rPr>
        <w:t>Forcible Entry and Detainer (FED)</w:t>
      </w:r>
    </w:p>
    <w:p>
      <w:pPr>
        <w:pBdr>
          <w:bottom w:val="single" w:color="d4a017" w:sz="12" w:space="1"/>
        </w:pBdr>
        <w:spacing w:after="600"/>
        <w:ind w:left="2880" w:right="2880"/>
        <w:jc w:val="center"/>
      </w:pPr>
    </w:p>
    <w:p>
      <w:pPr>
        <w:spacing w:after="200"/>
        <w:jc w:val="center"/>
      </w:pPr>
      <w:r>
        <w:rPr>
          <w:color w:val="555555"/>
          <w:sz w:val="22"/>
        </w:rPr>
        <w:t>A step-by-step guide to serving eviction notices</w:t>
      </w:r>
    </w:p>
    <w:p>
      <w:pPr>
        <w:spacing w:after="2400"/>
        <w:jc w:val="center"/>
      </w:pPr>
      <w:r>
        <w:rPr>
          <w:color w:val="555555"/>
          <w:sz w:val="22"/>
        </w:rPr>
        <w:t>following Oklahoma law</w:t>
      </w:r>
    </w:p>
    <w:p>
      <w:pPr>
        <w:spacing w:after="60"/>
        <w:jc w:val="center"/>
      </w:pPr>
      <w:r>
        <w:rPr>
          <w:color w:val="888888"/>
          <w:sz w:val="18"/>
        </w:rPr>
        <w:t>v1.0  |  April 20, 2026</w:t>
      </w:r>
    </w:p>
    <w:p>
      <w:pPr>
        <w:jc w:val="center"/>
      </w:pPr>
      <w:r>
        <w:rPr>
          <w:color w:val="888888"/>
          <w:sz w:val="18"/>
        </w:rPr>
        <w:t>Next review: October 20, 2026</w:t>
      </w:r>
    </w:p>
    <w:p>
      <w:pPr>
        <w:sectPr>
          <w:type w:val="nextPage"/>
          <w:pgSz w:w="12240" w:h="15840"/>
          <w:pgMar w:top="0" w:right="1440" w:bottom="0" w:left="1440" w:header="0" w:footer="0"/>
          <w:titlePg/>
        </w:sectPr>
      </w:pPr>
    </w:p>
    <w:p>
      <w:pPr>
        <w:pStyle w:val="Heading1"/>
      </w:pPr>
      <w:r>
        <w:t>Table of Contents</w:t>
      </w:r>
      <w:bookmarkStart w:name="_Toc000" w:id="1"/>
      <w:bookmarkEnd w:id="1"/>
    </w:p>
    <w:p>
      <w:pPr>
        <w:spacing w:after="300"/>
      </w:pPr>
      <w:r>
        <w:rPr>
          <w:color w:val="888888"/>
          <w:sz w:val="18"/>
        </w:rPr>
        <w:t>Right-click the TOC and select "Update Field" to refresh page numbers</w:t>
      </w:r>
    </w:p>
    <w:p>
      <w:r>
        <w:fldChar w:fldCharType="begin"/>
      </w:r>
      <w:r>
        <w:instrText xml:space="preserve"> TOC \o "1-3" \h \z \u </w:instrText>
      </w:r>
      <w:r>
        <w:fldChar w:fldCharType="separate"/>
      </w:r>
    </w:p>
    <w:p>
      <w:pPr>
        <w:pStyle w:val="TOC1"/>
      </w:pPr>
      <w:r>
        <w:t>Overview</w:t>
      </w:r>
      <w:r>
        <w:tab/>
      </w:r>
      <w:r>
        <w:t>3</w:t>
      </w:r>
    </w:p>
    <w:p>
      <w:pPr>
        <w:pStyle w:val="TOC1"/>
      </w:pPr>
      <w:r>
        <w:t>Required Documents Checklist</w:t>
      </w:r>
      <w:r>
        <w:tab/>
      </w:r>
      <w:r>
        <w:t>3</w:t>
      </w:r>
    </w:p>
    <w:p>
      <w:pPr>
        <w:pStyle w:val="TOC1"/>
      </w:pPr>
      <w:r>
        <w:t>Notice Timeline</w:t>
      </w:r>
      <w:r>
        <w:tab/>
      </w:r>
      <w:r>
        <w:t>4</w:t>
      </w:r>
    </w:p>
    <w:p>
      <w:pPr>
        <w:pStyle w:val="TOC1"/>
      </w:pPr>
      <w:r>
        <w:t>Service Methods Compared</w:t>
      </w:r>
      <w:r>
        <w:tab/>
      </w:r>
      <w:r>
        <w:t>5</w:t>
      </w:r>
    </w:p>
    <w:p>
      <w:pPr>
        <w:pStyle w:val="TOC1"/>
      </w:pPr>
      <w:r>
        <w:t>Step-by-Step Procedure</w:t>
      </w:r>
      <w:r>
        <w:tab/>
      </w:r>
      <w:r>
        <w:t>6</w:t>
      </w:r>
    </w:p>
    <w:p>
      <w:pPr>
        <w:pStyle w:val="TOC1"/>
      </w:pPr>
      <w:r>
        <w:t>Why Service Fails</w:t>
      </w:r>
      <w:r>
        <w:tab/>
      </w:r>
      <w:r>
        <w:t>8</w:t>
      </w:r>
    </w:p>
    <w:p>
      <w:pPr>
        <w:pStyle w:val="TOC1"/>
      </w:pPr>
      <w:r>
        <w:t>Important Notes and Limitations</w:t>
      </w:r>
      <w:r>
        <w:tab/>
      </w:r>
      <w:r>
        <w:t>9</w:t>
      </w:r>
    </w:p>
    <w:p>
      <w:pPr>
        <w:pStyle w:val="TOC1"/>
      </w:pPr>
      <w:r>
        <w:t>Disclaimer</w:t>
      </w:r>
      <w:r>
        <w:tab/>
      </w:r>
      <w:r>
        <w:t>10</w:t>
      </w:r>
    </w:p>
    <w:p>
      <w:r>
        <w:fldChar w:fldCharType="end"/>
      </w:r>
    </w:p>
    <w:p>
      <w:pPr>
        <w:sectPr>
          <w:type w:val="nextPage"/>
          <w:pgSz w:w="12240" w:h="15840"/>
          <w:pgMar w:top="1440" w:right="1440" w:bottom="1440" w:left="1440" w:header="720" w:footer="720"/>
        </w:sectPr>
      </w:pPr>
    </w:p>
    <w:p>
      <w:pPr>
        <w:pStyle w:val="Heading1"/>
      </w:pPr>
      <w:r>
        <w:t>Overview</w:t>
      </w:r>
      <w:bookmarkStart w:name="_Toc001" w:id="2"/>
      <w:bookmarkEnd w:id="2"/>
    </w:p>
    <w:p>
      <w:r>
        <w:t>This guide explains how to serve an eviction notice in Oklahoma. An eviction case is called a Forcible Entry and Detainer action, or FED for short.</w:t>
      </w:r>
    </w:p>
    <w:p>
      <w:r>
        <w:t>Oklahoma law sets specific rules for how eviction notices must be served. If you do not follow these rules, the court may dismiss your case or delay the eviction.</w:t>
      </w:r>
    </w:p>
    <w:p>
      <w:r>
        <w:t>Key Oklahoma laws that govern eviction notice service include:</w:t>
      </w:r>
    </w:p>
    <w:p>
      <w:pPr>
        <w:ind w:left="720" w:hanging="360"/>
      </w:pPr>
      <w:r>
        <w:rPr>
          <w:color w:val="d4a017"/>
        </w:rPr>
        <w:t xml:space="preserve">•  </w:t>
      </w:r>
      <w:r>
        <w:t>Title 41, Section 111(E) - How written notice to terminate tenancy must be served</w:t>
      </w:r>
    </w:p>
    <w:p>
      <w:pPr>
        <w:ind w:left="720" w:hanging="360"/>
      </w:pPr>
      <w:r>
        <w:rPr>
          <w:color w:val="d4a017"/>
        </w:rPr>
        <w:t xml:space="preserve">•  </w:t>
      </w:r>
      <w:r>
        <w:t>Title 41, Sections 132(C) and (D) - Immediate termination for criminal activity</w:t>
      </w:r>
    </w:p>
    <w:p>
      <w:pPr>
        <w:ind w:left="720" w:hanging="360"/>
      </w:pPr>
      <w:r>
        <w:rPr>
          <w:color w:val="d4a017"/>
        </w:rPr>
        <w:t xml:space="preserve">•  </w:t>
      </w:r>
      <w:r>
        <w:t>Title 12, Section 2004 - General service methods for court papers</w:t>
      </w:r>
    </w:p>
    <w:p>
      <w:pPr>
        <w:ind w:left="720" w:hanging="360"/>
      </w:pPr>
      <w:r>
        <w:rPr>
          <w:color w:val="d4a017"/>
        </w:rPr>
        <w:t xml:space="preserve">•  </w:t>
      </w:r>
      <w:r>
        <w:t>Title 12, Section 1148.4 - When the trial must be scheduled</w:t>
      </w:r>
    </w:p>
    <w:p>
      <w:pPr>
        <w:ind w:left="720" w:hanging="360"/>
      </w:pPr>
      <w:r>
        <w:rPr>
          <w:color w:val="d4a017"/>
        </w:rPr>
        <w:t xml:space="preserve">•  </w:t>
      </w:r>
      <w:r>
        <w:t>Title 12, Section 1148.5 - How many days before trial the summons must be served</w:t>
      </w:r>
    </w:p>
    <w:p>
      <w:pPr>
        <w:ind w:left="720" w:hanging="360"/>
      </w:pPr>
      <w:r>
        <w:rPr>
          <w:color w:val="d4a017"/>
        </w:rPr>
        <w:t xml:space="preserve">•  </w:t>
      </w:r>
      <w:r>
        <w:t>Title 12, Section 1148.5A - Constructive service rules and limits</w:t>
      </w:r>
    </w:p>
    <w:p>
      <w:r>
        <w:t>In 2025, Oklahoma passed Senate Bill 128. This law changed some deadlines. This guide includes those changes.</w:t>
      </w:r>
    </w:p>
    <w:p>
      <w:pPr>
        <w:pStyle w:val="Heading1"/>
      </w:pPr>
      <w:r>
        <w:t>Required Documents Checklist</w:t>
      </w:r>
      <w:bookmarkStart w:name="_Toc002" w:id="3"/>
      <w:bookmarkEnd w:id="3"/>
    </w:p>
    <w:p>
      <w:r>
        <w:t>Before you serve an eviction notice, gather all the documents you need. Use this checklist to make sure you have everything.</w:t>
      </w:r>
    </w:p>
    <w:tbl>
      <w:tblPr>
        <w:tblW w:w="5000" w:type="pct"/>
        <w:tblBorders>
          <w:top w:val="single" w:color="1a2744" w:sz="16"/>
          <w:bottom w:val="single" w:color="1a2744" w:sz="16"/>
          <w:insideH w:val="single" w:color="cccccc" w:sz="4"/>
        </w:tblBorders>
      </w:tblPr>
      <w:tblGrid>
        <w:gridCol w:w="800"/>
        <w:gridCol w:w="5000"/>
        <w:gridCol w:w="3200"/>
      </w:tblGrid>
      <w:tr>
        <w:trPr>
          <w:tblHeader/>
        </w:trPr>
        <w:tc>
          <w:tcPr>
            <w:tcW w:w="800" w:type="dxa"/>
            <w:shd w:val="clear" w:fill="1a2744"/>
          </w:tcPr>
          <w:p>
            <w:pPr>
              <w:spacing w:before="80" w:after="80"/>
            </w:pPr>
            <w:r>
              <w:rPr>
                <w:b/>
                <w:color w:val="FFFFFF"/>
                <w:sz w:val="20"/>
              </w:rPr>
              <w:t/>
            </w:r>
          </w:p>
        </w:tc>
        <w:tc>
          <w:tcPr>
            <w:tcW w:w="5000" w:type="dxa"/>
            <w:shd w:val="clear" w:fill="1a2744"/>
          </w:tcPr>
          <w:p>
            <w:pPr>
              <w:spacing w:before="80" w:after="80"/>
            </w:pPr>
            <w:r>
              <w:rPr>
                <w:b/>
                <w:color w:val="FFFFFF"/>
                <w:sz w:val="20"/>
              </w:rPr>
              <w:t>Document / Task</w:t>
            </w:r>
          </w:p>
        </w:tc>
        <w:tc>
          <w:tcPr>
            <w:tcW w:w="3200" w:type="dxa"/>
            <w:shd w:val="clear" w:fill="1a2744"/>
          </w:tcPr>
          <w:p>
            <w:pPr>
              <w:spacing w:before="80" w:after="80"/>
            </w:pPr>
            <w:r>
              <w:rPr>
                <w:b/>
                <w:color w:val="FFFFFF"/>
                <w:sz w:val="20"/>
              </w:rPr>
              <w:t>Status</w:t>
            </w:r>
          </w:p>
        </w:tc>
      </w:tr>
      <w:tr>
        <w:tc>
          <w:tcPr>
            <w:tcW w:w="800" w:type="dxa"/>
          </w:tcPr>
          <w:p>
            <w:pPr>
              <w:jc w:val="center"/>
            </w:pPr>
            <w:r>
              <w:rPr>
                <w:sz w:val="22"/>
              </w:rPr>
              <w:t>☐</w:t>
            </w:r>
          </w:p>
        </w:tc>
        <w:tc>
          <w:tcPr>
            <w:tcW w:w="5000" w:type="dxa"/>
            <w:shd w:val="clear" w:fill="f5f5f5"/>
          </w:tcPr>
          <w:p>
            <w:pPr>
              <w:spacing w:before="60" w:after="60"/>
            </w:pPr>
            <w:r>
              <w:rPr>
                <w:sz w:val="22"/>
              </w:rPr>
              <w:t>Written notice to terminate tenancy (properly drafted)</w:t>
            </w:r>
          </w:p>
        </w:tc>
        <w:tc>
          <w:tcPr>
            <w:tcW w:w="3200" w:type="dxa"/>
            <w:shd w:val="clear" w:fill="f5f5f5"/>
          </w:tcPr>
          <w:p>
            <w:pPr>
              <w:spacing w:before="60" w:after="60"/>
            </w:pPr>
            <w:r>
              <w:rPr>
                <w:i/>
                <w:color w:val="555555"/>
                <w:sz w:val="20"/>
              </w:rPr>
              <w:t>Required</w:t>
            </w:r>
          </w:p>
        </w:tc>
      </w:tr>
      <w:tr>
        <w:tc>
          <w:tcPr>
            <w:tcW w:w="800" w:type="dxa"/>
          </w:tcPr>
          <w:p>
            <w:pPr>
              <w:jc w:val="center"/>
            </w:pPr>
            <w:r>
              <w:rPr>
                <w:sz w:val="22"/>
              </w:rPr>
              <w:t>☐</w:t>
            </w:r>
          </w:p>
        </w:tc>
        <w:tc>
          <w:tcPr>
            <w:tcW w:w="5000" w:type="dxa"/>
          </w:tcPr>
          <w:p>
            <w:pPr>
              <w:spacing w:before="60" w:after="60"/>
            </w:pPr>
            <w:r>
              <w:rPr>
                <w:sz w:val="22"/>
              </w:rPr>
              <w:t>Forcible Entry and Detainer (FED) Petition</w:t>
            </w:r>
          </w:p>
        </w:tc>
        <w:tc>
          <w:tcPr>
            <w:tcW w:w="3200" w:type="dxa"/>
          </w:tcPr>
          <w:p>
            <w:pPr>
              <w:spacing w:before="60" w:after="60"/>
            </w:pPr>
            <w:r>
              <w:rPr>
                <w:i/>
                <w:color w:val="555555"/>
                <w:sz w:val="20"/>
              </w:rPr>
              <w:t>Required</w:t>
            </w:r>
          </w:p>
        </w:tc>
      </w:tr>
      <w:tr>
        <w:tc>
          <w:tcPr>
            <w:tcW w:w="800" w:type="dxa"/>
          </w:tcPr>
          <w:p>
            <w:pPr>
              <w:jc w:val="center"/>
            </w:pPr>
            <w:r>
              <w:rPr>
                <w:sz w:val="22"/>
              </w:rPr>
              <w:t>☐</w:t>
            </w:r>
          </w:p>
        </w:tc>
        <w:tc>
          <w:tcPr>
            <w:tcW w:w="5000" w:type="dxa"/>
            <w:shd w:val="clear" w:fill="f5f5f5"/>
          </w:tcPr>
          <w:p>
            <w:pPr>
              <w:spacing w:before="60" w:after="60"/>
            </w:pPr>
            <w:r>
              <w:rPr>
                <w:sz w:val="22"/>
              </w:rPr>
              <w:t>Summons issued by court clerk</w:t>
            </w:r>
          </w:p>
        </w:tc>
        <w:tc>
          <w:tcPr>
            <w:tcW w:w="3200" w:type="dxa"/>
            <w:shd w:val="clear" w:fill="f5f5f5"/>
          </w:tcPr>
          <w:p>
            <w:pPr>
              <w:spacing w:before="60" w:after="60"/>
            </w:pPr>
            <w:r>
              <w:rPr>
                <w:i/>
                <w:color w:val="555555"/>
                <w:sz w:val="20"/>
              </w:rPr>
              <w:t>Required</w:t>
            </w:r>
          </w:p>
        </w:tc>
      </w:tr>
      <w:tr>
        <w:tc>
          <w:tcPr>
            <w:tcW w:w="800" w:type="dxa"/>
          </w:tcPr>
          <w:p>
            <w:pPr>
              <w:jc w:val="center"/>
            </w:pPr>
            <w:r>
              <w:rPr>
                <w:sz w:val="22"/>
              </w:rPr>
              <w:t>☐</w:t>
            </w:r>
          </w:p>
        </w:tc>
        <w:tc>
          <w:tcPr>
            <w:tcW w:w="5000" w:type="dxa"/>
          </w:tcPr>
          <w:p>
            <w:pPr>
              <w:spacing w:before="60" w:after="60"/>
            </w:pPr>
            <w:r>
              <w:rPr>
                <w:sz w:val="22"/>
              </w:rPr>
              <w:t>Proof of service affidavit form</w:t>
            </w:r>
          </w:p>
        </w:tc>
        <w:tc>
          <w:tcPr>
            <w:tcW w:w="3200" w:type="dxa"/>
          </w:tcPr>
          <w:p>
            <w:pPr>
              <w:spacing w:before="60" w:after="60"/>
            </w:pPr>
            <w:r>
              <w:rPr>
                <w:i/>
                <w:color w:val="555555"/>
                <w:sz w:val="20"/>
              </w:rPr>
              <w:t>Required</w:t>
            </w:r>
          </w:p>
        </w:tc>
      </w:tr>
      <w:tr>
        <w:tc>
          <w:tcPr>
            <w:tcW w:w="800" w:type="dxa"/>
          </w:tcPr>
          <w:p>
            <w:pPr>
              <w:jc w:val="center"/>
            </w:pPr>
            <w:r>
              <w:rPr>
                <w:sz w:val="22"/>
              </w:rPr>
              <w:t>☐</w:t>
            </w:r>
          </w:p>
        </w:tc>
        <w:tc>
          <w:tcPr>
            <w:tcW w:w="5000" w:type="dxa"/>
            <w:shd w:val="clear" w:fill="f5f5f5"/>
          </w:tcPr>
          <w:p>
            <w:pPr>
              <w:spacing w:before="60" w:after="60"/>
            </w:pPr>
            <w:r>
              <w:rPr>
                <w:sz w:val="22"/>
              </w:rPr>
              <w:t>Copy of rental agreement (if available)</w:t>
            </w:r>
          </w:p>
        </w:tc>
        <w:tc>
          <w:tcPr>
            <w:tcW w:w="3200" w:type="dxa"/>
            <w:shd w:val="clear" w:fill="f5f5f5"/>
          </w:tcPr>
          <w:p>
            <w:pPr>
              <w:spacing w:before="60" w:after="60"/>
            </w:pPr>
            <w:r>
              <w:rPr>
                <w:i/>
                <w:color w:val="555555"/>
                <w:sz w:val="20"/>
              </w:rPr>
              <w:t>Recommended</w:t>
            </w:r>
          </w:p>
        </w:tc>
      </w:tr>
      <w:tr>
        <w:tc>
          <w:tcPr>
            <w:tcW w:w="800" w:type="dxa"/>
          </w:tcPr>
          <w:p>
            <w:pPr>
              <w:jc w:val="center"/>
            </w:pPr>
            <w:r>
              <w:rPr>
                <w:sz w:val="22"/>
              </w:rPr>
              <w:t>☐</w:t>
            </w:r>
          </w:p>
        </w:tc>
        <w:tc>
          <w:tcPr>
            <w:tcW w:w="5000" w:type="dxa"/>
          </w:tcPr>
          <w:p>
            <w:pPr>
              <w:spacing w:before="60" w:after="60"/>
            </w:pPr>
            <w:r>
              <w:rPr>
                <w:sz w:val="22"/>
              </w:rPr>
              <w:t>Rent ledger or payment records</w:t>
            </w:r>
          </w:p>
        </w:tc>
        <w:tc>
          <w:tcPr>
            <w:tcW w:w="3200" w:type="dxa"/>
          </w:tcPr>
          <w:p>
            <w:pPr>
              <w:spacing w:before="60" w:after="60"/>
            </w:pPr>
            <w:r>
              <w:rPr>
                <w:i/>
                <w:color w:val="555555"/>
                <w:sz w:val="20"/>
              </w:rPr>
              <w:t>Recommended</w:t>
            </w:r>
          </w:p>
        </w:tc>
      </w:tr>
      <w:tr>
        <w:tc>
          <w:tcPr>
            <w:tcW w:w="800" w:type="dxa"/>
          </w:tcPr>
          <w:p>
            <w:pPr>
              <w:jc w:val="center"/>
            </w:pPr>
            <w:r>
              <w:rPr>
                <w:sz w:val="22"/>
              </w:rPr>
              <w:t>☐</w:t>
            </w:r>
          </w:p>
        </w:tc>
        <w:tc>
          <w:tcPr>
            <w:tcW w:w="5000" w:type="dxa"/>
            <w:shd w:val="clear" w:fill="f5f5f5"/>
          </w:tcPr>
          <w:p>
            <w:pPr>
              <w:spacing w:before="60" w:after="60"/>
            </w:pPr>
            <w:r>
              <w:rPr>
                <w:sz w:val="22"/>
              </w:rPr>
              <w:t>Photo documentation of property condition</w:t>
            </w:r>
          </w:p>
        </w:tc>
        <w:tc>
          <w:tcPr>
            <w:tcW w:w="3200" w:type="dxa"/>
            <w:shd w:val="clear" w:fill="f5f5f5"/>
          </w:tcPr>
          <w:p>
            <w:pPr>
              <w:spacing w:before="60" w:after="60"/>
            </w:pPr>
            <w:r>
              <w:rPr>
                <w:i/>
                <w:color w:val="555555"/>
                <w:sz w:val="20"/>
              </w:rPr>
              <w:t>Recommended</w:t>
            </w:r>
          </w:p>
        </w:tc>
      </w:tr>
      <w:tr>
        <w:tc>
          <w:tcPr>
            <w:tcW w:w="800" w:type="dxa"/>
          </w:tcPr>
          <w:p>
            <w:pPr>
              <w:jc w:val="center"/>
            </w:pPr>
            <w:r>
              <w:rPr>
                <w:sz w:val="22"/>
              </w:rPr>
              <w:t>☐</w:t>
            </w:r>
          </w:p>
        </w:tc>
        <w:tc>
          <w:tcPr>
            <w:tcW w:w="5000" w:type="dxa"/>
          </w:tcPr>
          <w:p>
            <w:pPr>
              <w:spacing w:before="60" w:after="60"/>
            </w:pPr>
            <w:r>
              <w:rPr>
                <w:sz w:val="22"/>
              </w:rPr>
              <w:t>Tenant contact information and last-known address</w:t>
            </w:r>
          </w:p>
        </w:tc>
        <w:tc>
          <w:tcPr>
            <w:tcW w:w="3200" w:type="dxa"/>
          </w:tcPr>
          <w:p>
            <w:pPr>
              <w:spacing w:before="60" w:after="60"/>
            </w:pPr>
            <w:r>
              <w:rPr>
                <w:i/>
                <w:color w:val="555555"/>
                <w:sz w:val="20"/>
              </w:rPr>
              <w:t>Required</w:t>
            </w:r>
          </w:p>
        </w:tc>
      </w:tr>
      <w:tr>
        <w:tc>
          <w:tcPr>
            <w:tcW w:w="800" w:type="dxa"/>
          </w:tcPr>
          <w:p>
            <w:pPr>
              <w:jc w:val="center"/>
            </w:pPr>
            <w:r>
              <w:rPr>
                <w:sz w:val="22"/>
              </w:rPr>
              <w:t>☐</w:t>
            </w:r>
          </w:p>
        </w:tc>
        <w:tc>
          <w:tcPr>
            <w:tcW w:w="5000" w:type="dxa"/>
            <w:shd w:val="clear" w:fill="f5f5f5"/>
          </w:tcPr>
          <w:p>
            <w:pPr>
              <w:spacing w:before="60" w:after="60"/>
            </w:pPr>
            <w:r>
              <w:rPr>
                <w:sz w:val="22"/>
              </w:rPr>
              <w:t>Return receipt for certified mail (if used)</w:t>
            </w:r>
          </w:p>
        </w:tc>
        <w:tc>
          <w:tcPr>
            <w:tcW w:w="3200" w:type="dxa"/>
            <w:shd w:val="clear" w:fill="f5f5f5"/>
          </w:tcPr>
          <w:p>
            <w:pPr>
              <w:spacing w:before="60" w:after="60"/>
            </w:pPr>
            <w:r>
              <w:rPr>
                <w:i/>
                <w:color w:val="555555"/>
                <w:sz w:val="20"/>
              </w:rPr>
              <w:t>If applicable</w:t>
            </w:r>
          </w:p>
        </w:tc>
      </w:tr>
      <w:tr>
        <w:tc>
          <w:tcPr>
            <w:tcW w:w="800" w:type="dxa"/>
          </w:tcPr>
          <w:p>
            <w:pPr>
              <w:jc w:val="center"/>
            </w:pPr>
            <w:r>
              <w:rPr>
                <w:sz w:val="22"/>
              </w:rPr>
              <w:t>☐</w:t>
            </w:r>
          </w:p>
        </w:tc>
        <w:tc>
          <w:tcPr>
            <w:tcW w:w="5000" w:type="dxa"/>
          </w:tcPr>
          <w:p>
            <w:pPr>
              <w:spacing w:before="60" w:after="60"/>
            </w:pPr>
            <w:r>
              <w:rPr>
                <w:sz w:val="22"/>
              </w:rPr>
              <w:t>Photo of posted notice (if used)</w:t>
            </w:r>
          </w:p>
        </w:tc>
        <w:tc>
          <w:tcPr>
            <w:tcW w:w="3200" w:type="dxa"/>
          </w:tcPr>
          <w:p>
            <w:pPr>
              <w:spacing w:before="60" w:after="60"/>
            </w:pPr>
            <w:r>
              <w:rPr>
                <w:i/>
                <w:color w:val="555555"/>
                <w:sz w:val="20"/>
              </w:rPr>
              <w:t>If applicable</w:t>
            </w:r>
          </w:p>
        </w:tc>
      </w:tr>
    </w:tbl>
    <w:p>
      <w:r>
        <w:t>Verify with the court that all your forms are current. Court forms can change.</w:t>
      </w:r>
    </w:p>
    <w:p>
      <w:pPr>
        <w:pStyle w:val="Heading1"/>
      </w:pPr>
      <w:r>
        <w:t>Notice Timeline</w:t>
      </w:r>
      <w:bookmarkStart w:name="_Toc003" w:id="4"/>
      <w:bookmarkEnd w:id="4"/>
    </w:p>
    <w:p>
      <w:r>
        <w:t>Oklahoma law requires different notice periods depending on why the tenant is being evicted. The table below shows each type of notice and how much time the tenant gets.</w:t>
      </w:r>
    </w:p>
    <w:tbl>
      <w:tblPr>
        <w:tblW w:w="5000" w:type="pct"/>
        <w:tblBorders>
          <w:top w:val="single" w:color="1a2744" w:sz="16"/>
          <w:bottom w:val="single" w:color="1a2744" w:sz="16"/>
          <w:insideH w:val="single" w:color="cccccc" w:sz="4"/>
        </w:tblBorders>
      </w:tblPr>
      <w:tblGrid>
        <w:gridCol w:w="2400"/>
        <w:gridCol w:w="1400"/>
        <w:gridCol w:w="2600"/>
        <w:gridCol w:w="2600"/>
      </w:tblGrid>
      <w:tr>
        <w:trPr>
          <w:tblHeader/>
        </w:trPr>
        <w:tc>
          <w:tcPr>
            <w:tcW w:w="2400" w:type="dxa"/>
            <w:shd w:val="clear" w:fill="1a2744"/>
          </w:tcPr>
          <w:p>
            <w:pPr>
              <w:spacing w:before="80" w:after="80"/>
            </w:pPr>
            <w:r>
              <w:rPr>
                <w:b/>
                <w:color w:val="FFFFFF"/>
                <w:sz w:val="20"/>
              </w:rPr>
              <w:t>Reason for Eviction</w:t>
            </w:r>
          </w:p>
        </w:tc>
        <w:tc>
          <w:tcPr>
            <w:tcW w:w="1400" w:type="dxa"/>
            <w:shd w:val="clear" w:fill="1a2744"/>
          </w:tcPr>
          <w:p>
            <w:pPr>
              <w:spacing w:before="80" w:after="80"/>
            </w:pPr>
            <w:r>
              <w:rPr>
                <w:b/>
                <w:color w:val="FFFFFF"/>
                <w:sz w:val="20"/>
              </w:rPr>
              <w:t>Notice</w:t>
            </w:r>
          </w:p>
        </w:tc>
        <w:tc>
          <w:tcPr>
            <w:tcW w:w="2600" w:type="dxa"/>
            <w:shd w:val="clear" w:fill="1a2744"/>
          </w:tcPr>
          <w:p>
            <w:pPr>
              <w:spacing w:before="80" w:after="80"/>
            </w:pPr>
            <w:r>
              <w:rPr>
                <w:b/>
                <w:color w:val="FFFFFF"/>
                <w:sz w:val="20"/>
              </w:rPr>
              <w:t>Law</w:t>
            </w:r>
          </w:p>
        </w:tc>
        <w:tc>
          <w:tcPr>
            <w:tcW w:w="2600" w:type="dxa"/>
            <w:shd w:val="clear" w:fill="1a2744"/>
          </w:tcPr>
          <w:p>
            <w:pPr>
              <w:spacing w:before="80" w:after="80"/>
            </w:pPr>
            <w:r>
              <w:rPr>
                <w:b/>
                <w:color w:val="FFFFFF"/>
                <w:sz w:val="20"/>
              </w:rPr>
              <w:t>Notes</w:t>
            </w:r>
          </w:p>
        </w:tc>
      </w:tr>
      <w:tr>
        <w:tc>
          <w:tcPr>
            <w:tcW w:w="2400" w:type="dxa"/>
          </w:tcPr>
          <w:p>
            <w:pPr>
              <w:spacing w:before="60" w:after="60"/>
            </w:pPr>
            <w:r>
              <w:rPr>
                <w:b/>
                <w:sz w:val="20"/>
              </w:rPr>
              <w:t>Nonpayment of rent</w:t>
            </w:r>
          </w:p>
        </w:tc>
        <w:tc>
          <w:tcPr>
            <w:tcW w:w="1400" w:type="dxa"/>
          </w:tcPr>
          <w:p>
            <w:pPr>
              <w:spacing w:before="60" w:after="60"/>
            </w:pPr>
            <w:r>
              <w:rPr>
                <w:sz w:val="20"/>
              </w:rPr>
              <w:t>5 days</w:t>
            </w:r>
          </w:p>
        </w:tc>
        <w:tc>
          <w:tcPr>
            <w:tcW w:w="2600" w:type="dxa"/>
          </w:tcPr>
          <w:p>
            <w:pPr>
              <w:spacing w:before="60" w:after="60"/>
            </w:pPr>
            <w:r>
              <w:rPr>
                <w:sz w:val="20"/>
              </w:rPr>
              <w:t>41 O.S. §131(B)</w:t>
            </w:r>
          </w:p>
        </w:tc>
        <w:tc>
          <w:tcPr>
            <w:tcW w:w="2600" w:type="dxa"/>
          </w:tcPr>
          <w:p>
            <w:pPr>
              <w:spacing w:before="60" w:after="60"/>
            </w:pPr>
            <w:r>
              <w:rPr>
                <w:sz w:val="20"/>
              </w:rPr>
              <w:t>Tenant can pay and stay</w:t>
            </w:r>
          </w:p>
        </w:tc>
      </w:tr>
      <w:tr>
        <w:tc>
          <w:tcPr>
            <w:tcW w:w="2400" w:type="dxa"/>
            <w:shd w:val="clear" w:fill="f5f5f5"/>
          </w:tcPr>
          <w:p>
            <w:pPr>
              <w:spacing w:before="60" w:after="60"/>
            </w:pPr>
            <w:r>
              <w:rPr>
                <w:b/>
                <w:sz w:val="20"/>
              </w:rPr>
              <w:t>Holdover (lease expired)</w:t>
            </w:r>
          </w:p>
        </w:tc>
        <w:tc>
          <w:tcPr>
            <w:tcW w:w="1400" w:type="dxa"/>
            <w:shd w:val="clear" w:fill="f5f5f5"/>
          </w:tcPr>
          <w:p>
            <w:pPr>
              <w:spacing w:before="60" w:after="60"/>
            </w:pPr>
            <w:r>
              <w:rPr>
                <w:sz w:val="20"/>
              </w:rPr>
              <w:t>10 days</w:t>
            </w:r>
          </w:p>
        </w:tc>
        <w:tc>
          <w:tcPr>
            <w:tcW w:w="2600" w:type="dxa"/>
            <w:shd w:val="clear" w:fill="f5f5f5"/>
          </w:tcPr>
          <w:p>
            <w:pPr>
              <w:spacing w:before="60" w:after="60"/>
            </w:pPr>
            <w:r>
              <w:rPr>
                <w:sz w:val="20"/>
              </w:rPr>
              <w:t>41 O.S. §111</w:t>
            </w:r>
          </w:p>
        </w:tc>
        <w:tc>
          <w:tcPr>
            <w:tcW w:w="2600" w:type="dxa"/>
            <w:shd w:val="clear" w:fill="f5f5f5"/>
          </w:tcPr>
          <w:p>
            <w:pPr>
              <w:spacing w:before="60" w:after="60"/>
            </w:pPr>
            <w:r>
              <w:rPr>
                <w:sz w:val="20"/>
              </w:rPr>
              <w:t>Tenant must vacate</w:t>
            </w:r>
          </w:p>
        </w:tc>
      </w:tr>
      <w:tr>
        <w:tc>
          <w:tcPr>
            <w:tcW w:w="2400" w:type="dxa"/>
          </w:tcPr>
          <w:p>
            <w:pPr>
              <w:spacing w:before="60" w:after="60"/>
            </w:pPr>
            <w:r>
              <w:rPr>
                <w:b/>
                <w:sz w:val="20"/>
              </w:rPr>
              <w:t>Forcible entry</w:t>
            </w:r>
          </w:p>
        </w:tc>
        <w:tc>
          <w:tcPr>
            <w:tcW w:w="1400" w:type="dxa"/>
          </w:tcPr>
          <w:p>
            <w:pPr>
              <w:spacing w:before="60" w:after="60"/>
            </w:pPr>
            <w:r>
              <w:rPr>
                <w:sz w:val="20"/>
              </w:rPr>
              <w:t>5 days</w:t>
            </w:r>
          </w:p>
        </w:tc>
        <w:tc>
          <w:tcPr>
            <w:tcW w:w="2600" w:type="dxa"/>
          </w:tcPr>
          <w:p>
            <w:pPr>
              <w:spacing w:before="60" w:after="60"/>
            </w:pPr>
            <w:r>
              <w:rPr>
                <w:sz w:val="20"/>
              </w:rPr>
              <w:t>41 O.S. §111</w:t>
            </w:r>
          </w:p>
        </w:tc>
        <w:tc>
          <w:tcPr>
            <w:tcW w:w="2600" w:type="dxa"/>
          </w:tcPr>
          <w:p>
            <w:pPr>
              <w:spacing w:before="60" w:after="60"/>
            </w:pPr>
            <w:r>
              <w:rPr>
                <w:sz w:val="20"/>
              </w:rPr>
              <w:t>Tenant entered by force</w:t>
            </w:r>
          </w:p>
        </w:tc>
      </w:tr>
      <w:tr>
        <w:tc>
          <w:tcPr>
            <w:tcW w:w="2400" w:type="dxa"/>
            <w:shd w:val="clear" w:fill="f5f5f5"/>
          </w:tcPr>
          <w:p>
            <w:pPr>
              <w:spacing w:before="60" w:after="60"/>
            </w:pPr>
            <w:r>
              <w:rPr>
                <w:b/>
                <w:sz w:val="20"/>
              </w:rPr>
              <w:t>Breach of lease</w:t>
            </w:r>
          </w:p>
        </w:tc>
        <w:tc>
          <w:tcPr>
            <w:tcW w:w="1400" w:type="dxa"/>
            <w:shd w:val="clear" w:fill="f5f5f5"/>
          </w:tcPr>
          <w:p>
            <w:pPr>
              <w:spacing w:before="60" w:after="60"/>
            </w:pPr>
            <w:r>
              <w:rPr>
                <w:sz w:val="20"/>
              </w:rPr>
              <w:t>15 days</w:t>
            </w:r>
          </w:p>
        </w:tc>
        <w:tc>
          <w:tcPr>
            <w:tcW w:w="2600" w:type="dxa"/>
            <w:shd w:val="clear" w:fill="f5f5f5"/>
          </w:tcPr>
          <w:p>
            <w:pPr>
              <w:spacing w:before="60" w:after="60"/>
            </w:pPr>
            <w:r>
              <w:rPr>
                <w:sz w:val="20"/>
              </w:rPr>
              <w:t>41 O.S. §132(A)</w:t>
            </w:r>
          </w:p>
        </w:tc>
        <w:tc>
          <w:tcPr>
            <w:tcW w:w="2600" w:type="dxa"/>
            <w:shd w:val="clear" w:fill="f5f5f5"/>
          </w:tcPr>
          <w:p>
            <w:pPr>
              <w:spacing w:before="60" w:after="60"/>
            </w:pPr>
            <w:r>
              <w:rPr>
                <w:sz w:val="20"/>
              </w:rPr>
              <w:t>Tenant can fix the breach</w:t>
            </w:r>
          </w:p>
        </w:tc>
      </w:tr>
      <w:tr>
        <w:tc>
          <w:tcPr>
            <w:tcW w:w="2400" w:type="dxa"/>
          </w:tcPr>
          <w:p>
            <w:pPr>
              <w:spacing w:before="60" w:after="60"/>
            </w:pPr>
            <w:r>
              <w:rPr>
                <w:b/>
                <w:sz w:val="20"/>
              </w:rPr>
              <w:t>Criminal activity</w:t>
            </w:r>
          </w:p>
        </w:tc>
        <w:tc>
          <w:tcPr>
            <w:tcW w:w="1400" w:type="dxa"/>
          </w:tcPr>
          <w:p>
            <w:pPr>
              <w:spacing w:before="60" w:after="60"/>
            </w:pPr>
            <w:r>
              <w:rPr>
                <w:sz w:val="20"/>
              </w:rPr>
              <w:t>Immediate</w:t>
            </w:r>
          </w:p>
        </w:tc>
        <w:tc>
          <w:tcPr>
            <w:tcW w:w="2600" w:type="dxa"/>
          </w:tcPr>
          <w:p>
            <w:pPr>
              <w:spacing w:before="60" w:after="60"/>
            </w:pPr>
            <w:r>
              <w:rPr>
                <w:sz w:val="20"/>
              </w:rPr>
              <w:t>41 O.S. §132(C)(D)</w:t>
            </w:r>
          </w:p>
        </w:tc>
        <w:tc>
          <w:tcPr>
            <w:tcW w:w="2600" w:type="dxa"/>
          </w:tcPr>
          <w:p>
            <w:pPr>
              <w:spacing w:before="60" w:after="60"/>
            </w:pPr>
            <w:r>
              <w:rPr>
                <w:sz w:val="20"/>
              </w:rPr>
              <w:t>No advance notice needed</w:t>
            </w:r>
          </w:p>
        </w:tc>
      </w:tr>
      <w:tr>
        <w:tc>
          <w:tcPr>
            <w:tcW w:w="2400" w:type="dxa"/>
            <w:shd w:val="clear" w:fill="f5f5f5"/>
          </w:tcPr>
          <w:p>
            <w:pPr>
              <w:spacing w:before="60" w:after="60"/>
            </w:pPr>
            <w:r>
              <w:rPr>
                <w:b/>
                <w:sz w:val="20"/>
              </w:rPr>
              <w:t>Drug-related activity</w:t>
            </w:r>
          </w:p>
        </w:tc>
        <w:tc>
          <w:tcPr>
            <w:tcW w:w="1400" w:type="dxa"/>
            <w:shd w:val="clear" w:fill="f5f5f5"/>
          </w:tcPr>
          <w:p>
            <w:pPr>
              <w:spacing w:before="60" w:after="60"/>
            </w:pPr>
            <w:r>
              <w:rPr>
                <w:sz w:val="20"/>
              </w:rPr>
              <w:t>Immediate</w:t>
            </w:r>
          </w:p>
        </w:tc>
        <w:tc>
          <w:tcPr>
            <w:tcW w:w="2600" w:type="dxa"/>
            <w:shd w:val="clear" w:fill="f5f5f5"/>
          </w:tcPr>
          <w:p>
            <w:pPr>
              <w:spacing w:before="60" w:after="60"/>
            </w:pPr>
            <w:r>
              <w:rPr>
                <w:sz w:val="20"/>
              </w:rPr>
              <w:t>41 O.S. §132(D)</w:t>
            </w:r>
          </w:p>
        </w:tc>
        <w:tc>
          <w:tcPr>
            <w:tcW w:w="2600" w:type="dxa"/>
            <w:shd w:val="clear" w:fill="f5f5f5"/>
          </w:tcPr>
          <w:p>
            <w:pPr>
              <w:spacing w:before="60" w:after="60"/>
            </w:pPr>
            <w:r>
              <w:rPr>
                <w:sz w:val="20"/>
              </w:rPr>
              <w:t>Landlord may file FED at once</w:t>
            </w:r>
          </w:p>
        </w:tc>
      </w:tr>
    </w:tbl>
    <w:p>
      <w:r>
        <w:t>Source: 41 O.S. Section 111 and related statutes. Verify current deadlines with the court clerk.</w:t>
      </w:r>
    </w:p>
    <w:p>
      <w:r>
        <w:t>For immediate termination under Section 132(C) or (D), the landlord can file the FED action right away. No advance notice is needed when criminal activity threatens health, safety, or peaceful enjoyment.</w:t>
      </w:r>
    </w:p>
    <w:p>
      <w:pPr>
        <w:pStyle w:val="Heading1"/>
      </w:pPr>
      <w:r>
        <w:t>Service Methods Compared</w:t>
      </w:r>
      <w:bookmarkStart w:name="_Toc004" w:id="5"/>
      <w:bookmarkEnd w:id="5"/>
    </w:p>
    <w:p>
      <w:r>
        <w:t>Oklahoma law gives landlords several ways to serve eviction notices. The method you choose affects what the court can do if the tenant does not show up.</w:t>
      </w:r>
    </w:p>
    <w:tbl>
      <w:tblPr>
        <w:tblW w:w="5000" w:type="pct"/>
        <w:tblBorders>
          <w:top w:val="single" w:color="1a2744" w:sz="16"/>
          <w:bottom w:val="single" w:color="1a2744" w:sz="16"/>
          <w:insideH w:val="single" w:color="cccccc" w:sz="4"/>
        </w:tblBorders>
      </w:tblPr>
      <w:tblGrid>
        <w:gridCol w:w="1800"/>
        <w:gridCol w:w="2600"/>
        <w:gridCol w:w="2600"/>
        <w:gridCol w:w="2000"/>
      </w:tblGrid>
      <w:tr>
        <w:trPr>
          <w:tblHeader/>
        </w:trPr>
        <w:tc>
          <w:tcPr>
            <w:tcW w:w="1800" w:type="dxa"/>
            <w:shd w:val="clear" w:fill="1a2744"/>
          </w:tcPr>
          <w:p>
            <w:pPr>
              <w:spacing w:before="80" w:after="80"/>
            </w:pPr>
            <w:r>
              <w:rPr>
                <w:b/>
                <w:color w:val="FFFFFF"/>
                <w:sz w:val="20"/>
              </w:rPr>
              <w:t>Method</w:t>
            </w:r>
          </w:p>
        </w:tc>
        <w:tc>
          <w:tcPr>
            <w:tcW w:w="2600" w:type="dxa"/>
            <w:shd w:val="clear" w:fill="1a2744"/>
          </w:tcPr>
          <w:p>
            <w:pPr>
              <w:spacing w:before="80" w:after="80"/>
            </w:pPr>
            <w:r>
              <w:rPr>
                <w:b/>
                <w:color w:val="FFFFFF"/>
                <w:sz w:val="20"/>
              </w:rPr>
              <w:t>How It Works</w:t>
            </w:r>
          </w:p>
        </w:tc>
        <w:tc>
          <w:tcPr>
            <w:tcW w:w="2600" w:type="dxa"/>
            <w:shd w:val="clear" w:fill="1a2744"/>
          </w:tcPr>
          <w:p>
            <w:pPr>
              <w:spacing w:before="80" w:after="80"/>
            </w:pPr>
            <w:r>
              <w:rPr>
                <w:b/>
                <w:color w:val="FFFFFF"/>
                <w:sz w:val="20"/>
              </w:rPr>
              <w:t>Best For</w:t>
            </w:r>
          </w:p>
        </w:tc>
        <w:tc>
          <w:tcPr>
            <w:tcW w:w="2000" w:type="dxa"/>
            <w:shd w:val="clear" w:fill="1a2744"/>
          </w:tcPr>
          <w:p>
            <w:pPr>
              <w:spacing w:before="80" w:after="80"/>
            </w:pPr>
            <w:r>
              <w:rPr>
                <w:b/>
                <w:color w:val="FFFFFF"/>
                <w:sz w:val="20"/>
              </w:rPr>
              <w:t>Caution</w:t>
            </w:r>
          </w:p>
        </w:tc>
      </w:tr>
      <w:tr>
        <w:tc>
          <w:tcPr>
            <w:tcW w:w="1800" w:type="dxa"/>
          </w:tcPr>
          <w:p>
            <w:pPr>
              <w:spacing w:before="60" w:after="60"/>
            </w:pPr>
            <w:r>
              <w:rPr>
                <w:b/>
                <w:sz w:val="20"/>
              </w:rPr>
              <w:t>Personal</w:t>
            </w:r>
          </w:p>
        </w:tc>
        <w:tc>
          <w:tcPr>
            <w:tcW w:w="2600" w:type="dxa"/>
          </w:tcPr>
          <w:p>
            <w:pPr>
              <w:spacing w:before="60" w:after="60"/>
            </w:pPr>
            <w:r>
              <w:rPr>
                <w:sz w:val="20"/>
              </w:rPr>
              <w:t>Hand notice directly to tenant</w:t>
            </w:r>
          </w:p>
        </w:tc>
        <w:tc>
          <w:tcPr>
            <w:tcW w:w="2600" w:type="dxa"/>
          </w:tcPr>
          <w:p>
            <w:pPr>
              <w:spacing w:before="60" w:after="60"/>
            </w:pPr>
            <w:r>
              <w:rPr>
                <w:sz w:val="20"/>
              </w:rPr>
              <w:t>Tenant is easy to find</w:t>
            </w:r>
          </w:p>
        </w:tc>
        <w:tc>
          <w:tcPr>
            <w:tcW w:w="2000" w:type="dxa"/>
          </w:tcPr>
          <w:p>
            <w:pPr>
              <w:spacing w:before="60" w:after="60"/>
            </w:pPr>
            <w:r>
              <w:rPr>
                <w:sz w:val="20"/>
              </w:rPr>
              <w:t>Best option; most reliable</w:t>
            </w:r>
          </w:p>
        </w:tc>
      </w:tr>
      <w:tr>
        <w:tc>
          <w:tcPr>
            <w:tcW w:w="1800" w:type="dxa"/>
            <w:shd w:val="clear" w:fill="f5f5f5"/>
          </w:tcPr>
          <w:p>
            <w:pPr>
              <w:spacing w:before="60" w:after="60"/>
            </w:pPr>
            <w:r>
              <w:rPr>
                <w:b/>
                <w:sz w:val="20"/>
              </w:rPr>
              <w:t>Substituted</w:t>
            </w:r>
          </w:p>
        </w:tc>
        <w:tc>
          <w:tcPr>
            <w:tcW w:w="2600" w:type="dxa"/>
            <w:shd w:val="clear" w:fill="f5f5f5"/>
          </w:tcPr>
          <w:p>
            <w:pPr>
              <w:spacing w:before="60" w:after="60"/>
            </w:pPr>
            <w:r>
              <w:rPr>
                <w:sz w:val="20"/>
              </w:rPr>
              <w:t>Leave with family member age 12+ who lives with tenant</w:t>
            </w:r>
          </w:p>
        </w:tc>
        <w:tc>
          <w:tcPr>
            <w:tcW w:w="2600" w:type="dxa"/>
            <w:shd w:val="clear" w:fill="f5f5f5"/>
          </w:tcPr>
          <w:p>
            <w:pPr>
              <w:spacing w:before="60" w:after="60"/>
            </w:pPr>
            <w:r>
              <w:rPr>
                <w:sz w:val="20"/>
              </w:rPr>
              <w:t>Tenant is not home but family is</w:t>
            </w:r>
          </w:p>
        </w:tc>
        <w:tc>
          <w:tcPr>
            <w:tcW w:w="2000" w:type="dxa"/>
            <w:shd w:val="clear" w:fill="f5f5f5"/>
          </w:tcPr>
          <w:p>
            <w:pPr>
              <w:spacing w:before="60" w:after="60"/>
            </w:pPr>
            <w:r>
              <w:rPr>
                <w:sz w:val="20"/>
              </w:rPr>
              <w:t>Must be same household; record name</w:t>
            </w:r>
          </w:p>
        </w:tc>
      </w:tr>
      <w:tr>
        <w:tc>
          <w:tcPr>
            <w:tcW w:w="1800" w:type="dxa"/>
          </w:tcPr>
          <w:p>
            <w:pPr>
              <w:spacing w:before="60" w:after="60"/>
            </w:pPr>
            <w:r>
              <w:rPr>
                <w:b/>
                <w:sz w:val="20"/>
              </w:rPr>
              <w:t>Posting + Certified Mail</w:t>
            </w:r>
          </w:p>
        </w:tc>
        <w:tc>
          <w:tcPr>
            <w:tcW w:w="2600" w:type="dxa"/>
          </w:tcPr>
          <w:p>
            <w:pPr>
              <w:spacing w:before="60" w:after="60"/>
            </w:pPr>
            <w:r>
              <w:rPr>
                <w:sz w:val="20"/>
              </w:rPr>
              <w:t>Post notice on dwelling; mail certified copy</w:t>
            </w:r>
          </w:p>
        </w:tc>
        <w:tc>
          <w:tcPr>
            <w:tcW w:w="2600" w:type="dxa"/>
          </w:tcPr>
          <w:p>
            <w:pPr>
              <w:spacing w:before="60" w:after="60"/>
            </w:pPr>
            <w:r>
              <w:rPr>
                <w:sz w:val="20"/>
              </w:rPr>
              <w:t>Cannot find tenant or family</w:t>
            </w:r>
          </w:p>
        </w:tc>
        <w:tc>
          <w:tcPr>
            <w:tcW w:w="2000" w:type="dxa"/>
          </w:tcPr>
          <w:p>
            <w:pPr>
              <w:spacing w:before="60" w:after="60"/>
            </w:pPr>
            <w:r>
              <w:rPr>
                <w:sz w:val="20"/>
              </w:rPr>
              <w:t>Verify with court clerk before using</w:t>
            </w:r>
          </w:p>
        </w:tc>
      </w:tr>
      <w:tr>
        <w:tc>
          <w:tcPr>
            <w:tcW w:w="1800" w:type="dxa"/>
            <w:shd w:val="clear" w:fill="f5f5f5"/>
          </w:tcPr>
          <w:p>
            <w:pPr>
              <w:spacing w:before="60" w:after="60"/>
            </w:pPr>
            <w:r>
              <w:rPr>
                <w:b/>
                <w:sz w:val="20"/>
              </w:rPr>
              <w:t>Certified Mail Only</w:t>
            </w:r>
          </w:p>
        </w:tc>
        <w:tc>
          <w:tcPr>
            <w:tcW w:w="2600" w:type="dxa"/>
            <w:shd w:val="clear" w:fill="f5f5f5"/>
          </w:tcPr>
          <w:p>
            <w:pPr>
              <w:spacing w:before="60" w:after="60"/>
            </w:pPr>
            <w:r>
              <w:rPr>
                <w:sz w:val="20"/>
              </w:rPr>
              <w:t>Send by certified mail with return receipt</w:t>
            </w:r>
          </w:p>
        </w:tc>
        <w:tc>
          <w:tcPr>
            <w:tcW w:w="2600" w:type="dxa"/>
            <w:shd w:val="clear" w:fill="f5f5f5"/>
          </w:tcPr>
          <w:p>
            <w:pPr>
              <w:spacing w:before="60" w:after="60"/>
            </w:pPr>
            <w:r>
              <w:rPr>
                <w:sz w:val="20"/>
              </w:rPr>
              <w:t>Tenant accepts mail</w:t>
            </w:r>
          </w:p>
        </w:tc>
        <w:tc>
          <w:tcPr>
            <w:tcW w:w="2000" w:type="dxa"/>
            <w:shd w:val="clear" w:fill="f5f5f5"/>
          </w:tcPr>
          <w:p>
            <w:pPr>
              <w:spacing w:before="60" w:after="60"/>
            </w:pPr>
            <w:r>
              <w:rPr>
                <w:sz w:val="20"/>
              </w:rPr>
              <w:t>Not valid for all notice types</w:t>
            </w:r>
          </w:p>
        </w:tc>
      </w:tr>
    </w:tbl>
    <w:p>
      <w:pPr>
        <w:pStyle w:val="Heading2"/>
      </w:pPr>
      <w:r>
        <w:t>Important Warning About Constructive Service</w:t>
      </w:r>
    </w:p>
    <w:p>
      <w:r>
        <w:t>If you use constructive service under 12 O.S. Section 1148.5A, the court can only order the tenant to leave the property. The court cannot order the tenant to pay back rent, damages, or any other money.</w:t>
      </w:r>
    </w:p>
    <w:p>
      <w:r>
        <w:t>Quote from the law: "Such service shall confer no jurisdiction upon the court to render any judgment against the defendant for the payment of money nor for any relief other than the restoration of possession of the premises to the claimant, unless the defendant appears at trial."</w:t>
      </w:r>
    </w:p>
    <w:p>
      <w:pPr>
        <w:pStyle w:val="Heading1"/>
      </w:pPr>
      <w:r>
        <w:t>Step-by-Step Procedure</w:t>
      </w:r>
      <w:bookmarkStart w:name="_Toc005" w:id="6"/>
      <w:bookmarkEnd w:id="6"/>
    </w:p>
    <w:p>
      <w:r>
        <w:t>Follow these steps in order to serve an eviction notice correctly in Oklahoma.</w:t>
      </w:r>
    </w:p>
    <w:tbl>
      <w:tblPr>
        <w:tblW w:w="5000" w:type="pct"/>
        <w:tblBorders>
          <w:top w:val="single" w:color="1a2744" w:sz="16"/>
          <w:bottom w:val="single" w:color="1a2744" w:sz="16"/>
          <w:insideH w:val="single" w:color="cccccc" w:sz="4"/>
        </w:tblBorders>
      </w:tblPr>
      <w:tblGrid>
        <w:gridCol w:w="900"/>
        <w:gridCol w:w="7300"/>
      </w:tblGrid>
      <w:tr>
        <w:trPr>
          <w:tblHeader/>
        </w:trPr>
        <w:tc>
          <w:tcPr>
            <w:tcW w:w="900" w:type="dxa"/>
            <w:shd w:val="clear" w:fill="1a2744"/>
          </w:tcPr>
          <w:p>
            <w:pPr>
              <w:spacing w:before="80" w:after="80"/>
            </w:pPr>
            <w:r>
              <w:rPr>
                <w:b/>
                <w:color w:val="FFFFFF"/>
                <w:sz w:val="20"/>
              </w:rPr>
              <w:t>Step</w:t>
            </w:r>
          </w:p>
        </w:tc>
        <w:tc>
          <w:tcPr>
            <w:tcW w:w="7300" w:type="dxa"/>
            <w:shd w:val="clear" w:fill="1a2744"/>
          </w:tcPr>
          <w:p>
            <w:pPr>
              <w:spacing w:before="80" w:after="80"/>
            </w:pPr>
            <w:r>
              <w:rPr>
                <w:b/>
                <w:color w:val="FFFFFF"/>
                <w:sz w:val="20"/>
              </w:rPr>
              <w:t>Action</w:t>
            </w:r>
          </w:p>
        </w:tc>
      </w:tr>
      <w:tr>
        <w:tc>
          <w:tcPr>
            <w:tcW w:w="900" w:type="dxa"/>
          </w:tcPr>
          <w:p>
            <w:pPr>
              <w:spacing w:before="80" w:after="80"/>
              <w:jc w:val="center"/>
            </w:pPr>
            <w:r>
              <w:rPr>
                <w:b/>
                <w:color w:val="d4a017"/>
                <w:sz w:val="22"/>
              </w:rPr>
              <w:t>1</w:t>
            </w:r>
          </w:p>
        </w:tc>
        <w:tc>
          <w:tcPr>
            <w:tcW w:w="7300" w:type="dxa"/>
          </w:tcPr>
          <w:p>
            <w:pPr>
              <w:spacing w:before="80" w:after="80"/>
            </w:pPr>
            <w:r>
              <w:rPr>
                <w:sz w:val="21"/>
              </w:rPr>
              <w:t>Draft the written notice. State the reason for eviction clearly. Include the tenant's name, property address, and the deadline to fix the problem or leave.</w:t>
            </w:r>
          </w:p>
        </w:tc>
      </w:tr>
      <w:tr>
        <w:tc>
          <w:tcPr>
            <w:tcW w:w="900" w:type="dxa"/>
            <w:shd w:val="clear" w:fill="f5f5f5"/>
          </w:tcPr>
          <w:p>
            <w:pPr>
              <w:spacing w:before="80" w:after="80"/>
              <w:jc w:val="center"/>
            </w:pPr>
            <w:r>
              <w:rPr>
                <w:b/>
                <w:color w:val="d4a017"/>
                <w:sz w:val="22"/>
              </w:rPr>
              <w:t>2</w:t>
            </w:r>
          </w:p>
        </w:tc>
        <w:tc>
          <w:tcPr>
            <w:tcW w:w="7300" w:type="dxa"/>
            <w:shd w:val="clear" w:fill="f5f5f5"/>
          </w:tcPr>
          <w:p>
            <w:pPr>
              <w:spacing w:before="80" w:after="80"/>
            </w:pPr>
            <w:r>
              <w:rPr>
                <w:sz w:val="21"/>
              </w:rPr>
              <w:t>Choose the correct notice period. Check the timeline table above. Count calendar days, not business days.</w:t>
            </w:r>
          </w:p>
        </w:tc>
      </w:tr>
      <w:tr>
        <w:tc>
          <w:tcPr>
            <w:tcW w:w="900" w:type="dxa"/>
          </w:tcPr>
          <w:p>
            <w:pPr>
              <w:spacing w:before="80" w:after="80"/>
              <w:jc w:val="center"/>
            </w:pPr>
            <w:r>
              <w:rPr>
                <w:b/>
                <w:color w:val="d4a017"/>
                <w:sz w:val="22"/>
              </w:rPr>
              <w:t>3</w:t>
            </w:r>
          </w:p>
        </w:tc>
        <w:tc>
          <w:tcPr>
            <w:tcW w:w="7300" w:type="dxa"/>
          </w:tcPr>
          <w:p>
            <w:pPr>
              <w:spacing w:before="80" w:after="80"/>
            </w:pPr>
            <w:r>
              <w:rPr>
                <w:sz w:val="21"/>
              </w:rPr>
              <w:t>Make enough copies. You need one copy for the tenant, one for your records, and extras in case service fails.</w:t>
            </w:r>
          </w:p>
        </w:tc>
      </w:tr>
      <w:tr>
        <w:tc>
          <w:tcPr>
            <w:tcW w:w="900" w:type="dxa"/>
            <w:shd w:val="clear" w:fill="f5f5f5"/>
          </w:tcPr>
          <w:p>
            <w:pPr>
              <w:spacing w:before="80" w:after="80"/>
              <w:jc w:val="center"/>
            </w:pPr>
            <w:r>
              <w:rPr>
                <w:b/>
                <w:color w:val="d4a017"/>
                <w:sz w:val="22"/>
              </w:rPr>
              <w:t>4</w:t>
            </w:r>
          </w:p>
        </w:tc>
        <w:tc>
          <w:tcPr>
            <w:tcW w:w="7300" w:type="dxa"/>
            <w:shd w:val="clear" w:fill="f5f5f5"/>
          </w:tcPr>
          <w:p>
            <w:pPr>
              <w:spacing w:before="80" w:after="80"/>
            </w:pPr>
            <w:r>
              <w:rPr>
                <w:sz w:val="21"/>
              </w:rPr>
              <w:t>Serve the notice using one of the approved methods. Personal service is best. Get a photo or witness if possible.</w:t>
            </w:r>
          </w:p>
        </w:tc>
      </w:tr>
      <w:tr>
        <w:tc>
          <w:tcPr>
            <w:tcW w:w="900" w:type="dxa"/>
          </w:tcPr>
          <w:p>
            <w:pPr>
              <w:spacing w:before="80" w:after="80"/>
              <w:jc w:val="center"/>
            </w:pPr>
            <w:r>
              <w:rPr>
                <w:b/>
                <w:color w:val="d4a017"/>
                <w:sz w:val="22"/>
              </w:rPr>
              <w:t>5</w:t>
            </w:r>
          </w:p>
        </w:tc>
        <w:tc>
          <w:tcPr>
            <w:tcW w:w="7300" w:type="dxa"/>
          </w:tcPr>
          <w:p>
            <w:pPr>
              <w:spacing w:before="80" w:after="80"/>
            </w:pPr>
            <w:r>
              <w:rPr>
                <w:sz w:val="21"/>
              </w:rPr>
              <w:t>If serving personally, hand the notice to the tenant. If the tenant refuses it, leave it on the ground near them. Note what happened.</w:t>
            </w:r>
          </w:p>
        </w:tc>
      </w:tr>
      <w:tr>
        <w:tc>
          <w:tcPr>
            <w:tcW w:w="900" w:type="dxa"/>
            <w:shd w:val="clear" w:fill="f5f5f5"/>
          </w:tcPr>
          <w:p>
            <w:pPr>
              <w:spacing w:before="80" w:after="80"/>
              <w:jc w:val="center"/>
            </w:pPr>
            <w:r>
              <w:rPr>
                <w:b/>
                <w:color w:val="d4a017"/>
                <w:sz w:val="22"/>
              </w:rPr>
              <w:t>6</w:t>
            </w:r>
          </w:p>
        </w:tc>
        <w:tc>
          <w:tcPr>
            <w:tcW w:w="7300" w:type="dxa"/>
            <w:shd w:val="clear" w:fill="f5f5f5"/>
          </w:tcPr>
          <w:p>
            <w:pPr>
              <w:spacing w:before="80" w:after="80"/>
            </w:pPr>
            <w:r>
              <w:rPr>
                <w:sz w:val="21"/>
              </w:rPr>
              <w:t>If the tenant cannot be found, try substituted service. Leave the notice with a family member age 12 or older who lives with the tenant. Write down their name.</w:t>
            </w:r>
          </w:p>
        </w:tc>
      </w:tr>
      <w:tr>
        <w:tc>
          <w:tcPr>
            <w:tcW w:w="900" w:type="dxa"/>
          </w:tcPr>
          <w:p>
            <w:pPr>
              <w:spacing w:before="80" w:after="80"/>
              <w:jc w:val="center"/>
            </w:pPr>
            <w:r>
              <w:rPr>
                <w:b/>
                <w:color w:val="d4a017"/>
                <w:sz w:val="22"/>
              </w:rPr>
              <w:t>7</w:t>
            </w:r>
          </w:p>
        </w:tc>
        <w:tc>
          <w:tcPr>
            <w:tcW w:w="7300" w:type="dxa"/>
          </w:tcPr>
          <w:p>
            <w:pPr>
              <w:spacing w:before="80" w:after="80"/>
            </w:pPr>
            <w:r>
              <w:rPr>
                <w:sz w:val="21"/>
              </w:rPr>
              <w:t>If no one is home, post the notice on the dwelling in a visible spot. Take a photo. Mail a copy by certified mail with return receipt requested.</w:t>
            </w:r>
          </w:p>
        </w:tc>
      </w:tr>
      <w:tr>
        <w:tc>
          <w:tcPr>
            <w:tcW w:w="900" w:type="dxa"/>
            <w:shd w:val="clear" w:fill="f5f5f5"/>
          </w:tcPr>
          <w:p>
            <w:pPr>
              <w:spacing w:before="80" w:after="80"/>
              <w:jc w:val="center"/>
            </w:pPr>
            <w:r>
              <w:rPr>
                <w:b/>
                <w:color w:val="d4a017"/>
                <w:sz w:val="22"/>
              </w:rPr>
              <w:t>8</w:t>
            </w:r>
          </w:p>
        </w:tc>
        <w:tc>
          <w:tcPr>
            <w:tcW w:w="7300" w:type="dxa"/>
            <w:shd w:val="clear" w:fill="f5f5f5"/>
          </w:tcPr>
          <w:p>
            <w:pPr>
              <w:spacing w:before="80" w:after="80"/>
            </w:pPr>
            <w:r>
              <w:rPr>
                <w:sz w:val="21"/>
              </w:rPr>
              <w:t>Wait for the notice period to end. The tenant has the full number of days to pay rent, fix the problem, or leave.</w:t>
            </w:r>
          </w:p>
        </w:tc>
      </w:tr>
      <w:tr>
        <w:tc>
          <w:tcPr>
            <w:tcW w:w="900" w:type="dxa"/>
          </w:tcPr>
          <w:p>
            <w:pPr>
              <w:spacing w:before="80" w:after="80"/>
              <w:jc w:val="center"/>
            </w:pPr>
            <w:r>
              <w:rPr>
                <w:b/>
                <w:color w:val="d4a017"/>
                <w:sz w:val="22"/>
              </w:rPr>
              <w:t>9</w:t>
            </w:r>
          </w:p>
        </w:tc>
        <w:tc>
          <w:tcPr>
            <w:tcW w:w="7300" w:type="dxa"/>
          </w:tcPr>
          <w:p>
            <w:pPr>
              <w:spacing w:before="80" w:after="80"/>
            </w:pPr>
            <w:r>
              <w:rPr>
                <w:sz w:val="21"/>
              </w:rPr>
              <w:t>If the tenant does not leave, file a Forcible Entry and Detainer (FED) petition with the court clerk.</w:t>
            </w:r>
          </w:p>
        </w:tc>
      </w:tr>
      <w:tr>
        <w:tc>
          <w:tcPr>
            <w:tcW w:w="900" w:type="dxa"/>
            <w:shd w:val="clear" w:fill="f5f5f5"/>
          </w:tcPr>
          <w:p>
            <w:pPr>
              <w:spacing w:before="80" w:after="80"/>
              <w:jc w:val="center"/>
            </w:pPr>
            <w:r>
              <w:rPr>
                <w:b/>
                <w:color w:val="d4a017"/>
                <w:sz w:val="22"/>
              </w:rPr>
              <w:t>10</w:t>
            </w:r>
          </w:p>
        </w:tc>
        <w:tc>
          <w:tcPr>
            <w:tcW w:w="7300" w:type="dxa"/>
            <w:shd w:val="clear" w:fill="f5f5f5"/>
          </w:tcPr>
          <w:p>
            <w:pPr>
              <w:spacing w:before="80" w:after="80"/>
            </w:pPr>
            <w:r>
              <w:rPr>
                <w:sz w:val="21"/>
              </w:rPr>
              <w:t>Request a summons from the clerk. The clerk will issue it. The trial must be 5 to 15 days after issuance (5-10 days for emergency cases).</w:t>
            </w:r>
          </w:p>
        </w:tc>
      </w:tr>
      <w:tr>
        <w:tc>
          <w:tcPr>
            <w:tcW w:w="900" w:type="dxa"/>
          </w:tcPr>
          <w:p>
            <w:pPr>
              <w:spacing w:before="80" w:after="80"/>
              <w:jc w:val="center"/>
            </w:pPr>
            <w:r>
              <w:rPr>
                <w:b/>
                <w:color w:val="d4a017"/>
                <w:sz w:val="22"/>
              </w:rPr>
              <w:t>11</w:t>
            </w:r>
          </w:p>
        </w:tc>
        <w:tc>
          <w:tcPr>
            <w:tcW w:w="7300" w:type="dxa"/>
          </w:tcPr>
          <w:p>
            <w:pPr>
              <w:spacing w:before="80" w:after="80"/>
            </w:pPr>
            <w:r>
              <w:rPr>
                <w:sz w:val="21"/>
              </w:rPr>
              <w:t>Have the summons and petition served on the tenant. Service must be at least 7 days before trial (3 days for emergency cases under SB 128).</w:t>
            </w:r>
          </w:p>
        </w:tc>
      </w:tr>
      <w:tr>
        <w:tc>
          <w:tcPr>
            <w:tcW w:w="900" w:type="dxa"/>
            <w:shd w:val="clear" w:fill="f5f5f5"/>
          </w:tcPr>
          <w:p>
            <w:pPr>
              <w:spacing w:before="80" w:after="80"/>
              <w:jc w:val="center"/>
            </w:pPr>
            <w:r>
              <w:rPr>
                <w:b/>
                <w:color w:val="d4a017"/>
                <w:sz w:val="22"/>
              </w:rPr>
              <w:t>12</w:t>
            </w:r>
          </w:p>
        </w:tc>
        <w:tc>
          <w:tcPr>
            <w:tcW w:w="7300" w:type="dxa"/>
            <w:shd w:val="clear" w:fill="f5f5f5"/>
          </w:tcPr>
          <w:p>
            <w:pPr>
              <w:spacing w:before="80" w:after="80"/>
            </w:pPr>
            <w:r>
              <w:rPr>
                <w:sz w:val="21"/>
              </w:rPr>
              <w:t>File the proof of service affidavit with the court clerk. Do this promptly after service is complete.</w:t>
            </w:r>
          </w:p>
        </w:tc>
      </w:tr>
      <w:tr>
        <w:tc>
          <w:tcPr>
            <w:tcW w:w="900" w:type="dxa"/>
          </w:tcPr>
          <w:p>
            <w:pPr>
              <w:spacing w:before="80" w:after="80"/>
              <w:jc w:val="center"/>
            </w:pPr>
            <w:r>
              <w:rPr>
                <w:b/>
                <w:color w:val="d4a017"/>
                <w:sz w:val="22"/>
              </w:rPr>
              <w:t>13</w:t>
            </w:r>
          </w:p>
        </w:tc>
        <w:tc>
          <w:tcPr>
            <w:tcW w:w="7300" w:type="dxa"/>
          </w:tcPr>
          <w:p>
            <w:pPr>
              <w:spacing w:before="80" w:after="80"/>
            </w:pPr>
            <w:r>
              <w:rPr>
                <w:sz w:val="21"/>
              </w:rPr>
              <w:t>Attend the trial. Bring all evidence: lease, rent records, photos, and proof of service.</w:t>
            </w:r>
          </w:p>
        </w:tc>
      </w:tr>
    </w:tbl>
    <w:p>
      <w:pPr>
        <w:pStyle w:val="Heading1"/>
      </w:pPr>
      <w:r>
        <w:t>Why Service Fails</w:t>
      </w:r>
      <w:bookmarkStart w:name="_Toc006" w:id="7"/>
      <w:bookmarkEnd w:id="7"/>
    </w:p>
    <w:p>
      <w:r>
        <w:t>Many eviction cases get delayed or dismissed because of service errors. The table below shows the most common mistakes and how to avoid them.</w:t>
      </w:r>
    </w:p>
    <w:tbl>
      <w:tblPr>
        <w:tblW w:w="5000" w:type="pct"/>
        <w:tblBorders>
          <w:top w:val="single" w:color="1a2744" w:sz="16"/>
          <w:bottom w:val="single" w:color="1a2744" w:sz="16"/>
          <w:insideH w:val="single" w:color="cccccc" w:sz="4"/>
        </w:tblBorders>
      </w:tblPr>
      <w:tblGrid>
        <w:gridCol w:w="2400"/>
        <w:gridCol w:w="3000"/>
        <w:gridCol w:w="2800"/>
      </w:tblGrid>
      <w:tr>
        <w:trPr>
          <w:tblHeader/>
        </w:trPr>
        <w:tc>
          <w:tcPr>
            <w:tcW w:w="2400" w:type="dxa"/>
            <w:shd w:val="clear" w:fill="1a2744"/>
          </w:tcPr>
          <w:p>
            <w:pPr>
              <w:spacing w:before="80" w:after="80"/>
            </w:pPr>
            <w:r>
              <w:rPr>
                <w:b/>
                <w:color w:val="FFFFFF"/>
                <w:sz w:val="20"/>
              </w:rPr>
              <w:t>Common Mistake</w:t>
            </w:r>
          </w:p>
        </w:tc>
        <w:tc>
          <w:tcPr>
            <w:tcW w:w="3000" w:type="dxa"/>
            <w:shd w:val="clear" w:fill="1a2744"/>
          </w:tcPr>
          <w:p>
            <w:pPr>
              <w:spacing w:before="80" w:after="80"/>
            </w:pPr>
            <w:r>
              <w:rPr>
                <w:b/>
                <w:color w:val="FFFFFF"/>
                <w:sz w:val="20"/>
              </w:rPr>
              <w:t>Why It Fails</w:t>
            </w:r>
          </w:p>
        </w:tc>
        <w:tc>
          <w:tcPr>
            <w:tcW w:w="2800" w:type="dxa"/>
            <w:shd w:val="clear" w:fill="1a2744"/>
          </w:tcPr>
          <w:p>
            <w:pPr>
              <w:spacing w:before="80" w:after="80"/>
            </w:pPr>
            <w:r>
              <w:rPr>
                <w:b/>
                <w:color w:val="FFFFFF"/>
                <w:sz w:val="20"/>
              </w:rPr>
              <w:t>How to Fix It</w:t>
            </w:r>
          </w:p>
        </w:tc>
      </w:tr>
      <w:tr>
        <w:tc>
          <w:tcPr>
            <w:tcW w:w="2400" w:type="dxa"/>
          </w:tcPr>
          <w:p>
            <w:pPr>
              <w:spacing w:before="60" w:after="60"/>
            </w:pPr>
            <w:r>
              <w:rPr>
                <w:b/>
                <w:sz w:val="20"/>
              </w:rPr>
              <w:t>Wrong notice period</w:t>
            </w:r>
          </w:p>
        </w:tc>
        <w:tc>
          <w:tcPr>
            <w:tcW w:w="3000" w:type="dxa"/>
          </w:tcPr>
          <w:p>
            <w:pPr>
              <w:spacing w:before="60" w:after="60"/>
            </w:pPr>
            <w:r>
              <w:rPr>
                <w:sz w:val="20"/>
              </w:rPr>
              <w:t>Tenant gets more time; case delayed</w:t>
            </w:r>
          </w:p>
        </w:tc>
        <w:tc>
          <w:tcPr>
            <w:tcW w:w="2800" w:type="dxa"/>
          </w:tcPr>
          <w:p>
            <w:pPr>
              <w:spacing w:before="60" w:after="60"/>
            </w:pPr>
            <w:r>
              <w:rPr>
                <w:sz w:val="20"/>
              </w:rPr>
              <w:t>Count calendar days; check the law</w:t>
            </w:r>
          </w:p>
        </w:tc>
      </w:tr>
      <w:tr>
        <w:tc>
          <w:tcPr>
            <w:tcW w:w="2400" w:type="dxa"/>
            <w:shd w:val="clear" w:fill="f5f5f5"/>
          </w:tcPr>
          <w:p>
            <w:pPr>
              <w:spacing w:before="60" w:after="60"/>
            </w:pPr>
            <w:r>
              <w:rPr>
                <w:b/>
                <w:sz w:val="20"/>
              </w:rPr>
              <w:t>Serving a minor</w:t>
            </w:r>
          </w:p>
        </w:tc>
        <w:tc>
          <w:tcPr>
            <w:tcW w:w="3000" w:type="dxa"/>
            <w:shd w:val="clear" w:fill="f5f5f5"/>
          </w:tcPr>
          <w:p>
            <w:pPr>
              <w:spacing w:before="60" w:after="60"/>
            </w:pPr>
            <w:r>
              <w:rPr>
                <w:sz w:val="20"/>
              </w:rPr>
              <w:t>Service is not valid</w:t>
            </w:r>
          </w:p>
        </w:tc>
        <w:tc>
          <w:tcPr>
            <w:tcW w:w="2800" w:type="dxa"/>
            <w:shd w:val="clear" w:fill="f5f5f5"/>
          </w:tcPr>
          <w:p>
            <w:pPr>
              <w:spacing w:before="60" w:after="60"/>
            </w:pPr>
            <w:r>
              <w:rPr>
                <w:sz w:val="20"/>
              </w:rPr>
              <w:t>Serve tenant or family member age 12+</w:t>
            </w:r>
          </w:p>
        </w:tc>
      </w:tr>
      <w:tr>
        <w:tc>
          <w:tcPr>
            <w:tcW w:w="2400" w:type="dxa"/>
          </w:tcPr>
          <w:p>
            <w:pPr>
              <w:spacing w:before="60" w:after="60"/>
            </w:pPr>
            <w:r>
              <w:rPr>
                <w:b/>
                <w:sz w:val="20"/>
              </w:rPr>
              <w:t>No proof of service</w:t>
            </w:r>
          </w:p>
        </w:tc>
        <w:tc>
          <w:tcPr>
            <w:tcW w:w="3000" w:type="dxa"/>
          </w:tcPr>
          <w:p>
            <w:pPr>
              <w:spacing w:before="60" w:after="60"/>
            </w:pPr>
            <w:r>
              <w:rPr>
                <w:sz w:val="20"/>
              </w:rPr>
              <w:t>Court cannot verify service happened</w:t>
            </w:r>
          </w:p>
        </w:tc>
        <w:tc>
          <w:tcPr>
            <w:tcW w:w="2800" w:type="dxa"/>
          </w:tcPr>
          <w:p>
            <w:pPr>
              <w:spacing w:before="60" w:after="60"/>
            </w:pPr>
            <w:r>
              <w:rPr>
                <w:sz w:val="20"/>
              </w:rPr>
              <w:t>Get a signed affidavit; keep receipts</w:t>
            </w:r>
          </w:p>
        </w:tc>
      </w:tr>
      <w:tr>
        <w:tc>
          <w:tcPr>
            <w:tcW w:w="2400" w:type="dxa"/>
            <w:shd w:val="clear" w:fill="f5f5f5"/>
          </w:tcPr>
          <w:p>
            <w:pPr>
              <w:spacing w:before="60" w:after="60"/>
            </w:pPr>
            <w:r>
              <w:rPr>
                <w:b/>
                <w:sz w:val="20"/>
              </w:rPr>
              <w:t>Missing the deadline</w:t>
            </w:r>
          </w:p>
        </w:tc>
        <w:tc>
          <w:tcPr>
            <w:tcW w:w="3000" w:type="dxa"/>
            <w:shd w:val="clear" w:fill="f5f5f5"/>
          </w:tcPr>
          <w:p>
            <w:pPr>
              <w:spacing w:before="60" w:after="60"/>
            </w:pPr>
            <w:r>
              <w:rPr>
                <w:sz w:val="20"/>
              </w:rPr>
              <w:t>Case may be dismissed</w:t>
            </w:r>
          </w:p>
        </w:tc>
        <w:tc>
          <w:tcPr>
            <w:tcW w:w="2800" w:type="dxa"/>
            <w:shd w:val="clear" w:fill="f5f5f5"/>
          </w:tcPr>
          <w:p>
            <w:pPr>
              <w:spacing w:before="60" w:after="60"/>
            </w:pPr>
            <w:r>
              <w:rPr>
                <w:sz w:val="20"/>
              </w:rPr>
              <w:t>Serve at least 7 days before trial</w:t>
            </w:r>
          </w:p>
        </w:tc>
      </w:tr>
      <w:tr>
        <w:tc>
          <w:tcPr>
            <w:tcW w:w="2400" w:type="dxa"/>
          </w:tcPr>
          <w:p>
            <w:pPr>
              <w:spacing w:before="60" w:after="60"/>
            </w:pPr>
            <w:r>
              <w:rPr>
                <w:b/>
                <w:sz w:val="20"/>
              </w:rPr>
              <w:t>Wrong method for case type</w:t>
            </w:r>
          </w:p>
        </w:tc>
        <w:tc>
          <w:tcPr>
            <w:tcW w:w="3000" w:type="dxa"/>
          </w:tcPr>
          <w:p>
            <w:pPr>
              <w:spacing w:before="60" w:after="60"/>
            </w:pPr>
            <w:r>
              <w:rPr>
                <w:sz w:val="20"/>
              </w:rPr>
              <w:t>Service ruled invalid</w:t>
            </w:r>
          </w:p>
        </w:tc>
        <w:tc>
          <w:tcPr>
            <w:tcW w:w="2800" w:type="dxa"/>
          </w:tcPr>
          <w:p>
            <w:pPr>
              <w:spacing w:before="60" w:after="60"/>
            </w:pPr>
            <w:r>
              <w:rPr>
                <w:sz w:val="20"/>
              </w:rPr>
              <w:t>Use personal service when possible</w:t>
            </w:r>
          </w:p>
        </w:tc>
      </w:tr>
      <w:tr>
        <w:tc>
          <w:tcPr>
            <w:tcW w:w="2400" w:type="dxa"/>
            <w:shd w:val="clear" w:fill="f5f5f5"/>
          </w:tcPr>
          <w:p>
            <w:pPr>
              <w:spacing w:before="60" w:after="60"/>
            </w:pPr>
            <w:r>
              <w:rPr>
                <w:b/>
                <w:sz w:val="20"/>
              </w:rPr>
              <w:t>Incomplete notice</w:t>
            </w:r>
          </w:p>
        </w:tc>
        <w:tc>
          <w:tcPr>
            <w:tcW w:w="3000" w:type="dxa"/>
            <w:shd w:val="clear" w:fill="f5f5f5"/>
          </w:tcPr>
          <w:p>
            <w:pPr>
              <w:spacing w:before="60" w:after="60"/>
            </w:pPr>
            <w:r>
              <w:rPr>
                <w:sz w:val="20"/>
              </w:rPr>
              <w:t>Tenant may not understand demand</w:t>
            </w:r>
          </w:p>
        </w:tc>
        <w:tc>
          <w:tcPr>
            <w:tcW w:w="2800" w:type="dxa"/>
            <w:shd w:val="clear" w:fill="f5f5f5"/>
          </w:tcPr>
          <w:p>
            <w:pPr>
              <w:spacing w:before="60" w:after="60"/>
            </w:pPr>
            <w:r>
              <w:rPr>
                <w:sz w:val="20"/>
              </w:rPr>
              <w:t>Include all required details</w:t>
            </w:r>
          </w:p>
        </w:tc>
      </w:tr>
      <w:tr>
        <w:tc>
          <w:tcPr>
            <w:tcW w:w="2400" w:type="dxa"/>
          </w:tcPr>
          <w:p>
            <w:pPr>
              <w:spacing w:before="60" w:after="60"/>
            </w:pPr>
            <w:r>
              <w:rPr>
                <w:b/>
                <w:sz w:val="20"/>
              </w:rPr>
              <w:t>Serving on tribal land</w:t>
            </w:r>
          </w:p>
        </w:tc>
        <w:tc>
          <w:tcPr>
            <w:tcW w:w="3000" w:type="dxa"/>
          </w:tcPr>
          <w:p>
            <w:pPr>
              <w:spacing w:before="60" w:after="60"/>
            </w:pPr>
            <w:r>
              <w:rPr>
                <w:sz w:val="20"/>
              </w:rPr>
              <w:t>Tribal courts may not recognize service</w:t>
            </w:r>
          </w:p>
        </w:tc>
        <w:tc>
          <w:tcPr>
            <w:tcW w:w="2800" w:type="dxa"/>
          </w:tcPr>
          <w:p>
            <w:pPr>
              <w:spacing w:before="60" w:after="60"/>
            </w:pPr>
            <w:r>
              <w:rPr>
                <w:sz w:val="20"/>
              </w:rPr>
              <w:t>Contact tribal court clerk first</w:t>
            </w:r>
          </w:p>
        </w:tc>
      </w:tr>
    </w:tbl>
    <w:p>
      <w:pPr>
        <w:pStyle w:val="Heading1"/>
      </w:pPr>
      <w:r>
        <w:t>Important Notes and Limitations</w:t>
      </w:r>
      <w:bookmarkStart w:name="_Toc007" w:id="8"/>
      <w:bookmarkEnd w:id="8"/>
    </w:p>
    <w:p>
      <w:pPr>
        <w:pStyle w:val="Heading2"/>
      </w:pPr>
      <w:r>
        <w:t>2025 SB 128 Amendments</w:t>
      </w:r>
    </w:p>
    <w:p>
      <w:r>
        <w:t>Senate Bill 128, passed in 2025, made these changes to FED procedures:</w:t>
      </w:r>
    </w:p>
    <w:p>
      <w:pPr>
        <w:ind w:left="720" w:hanging="360"/>
      </w:pPr>
      <w:r>
        <w:rPr>
          <w:color w:val="d4a017"/>
        </w:rPr>
        <w:t xml:space="preserve">•  </w:t>
      </w:r>
      <w:r>
        <w:t>Trial can now be scheduled up to 15 days after summons issuance (was 10 days maximum)</w:t>
      </w:r>
    </w:p>
    <w:p>
      <w:pPr>
        <w:ind w:left="720" w:hanging="360"/>
      </w:pPr>
      <w:r>
        <w:rPr>
          <w:color w:val="d4a017"/>
        </w:rPr>
        <w:t xml:space="preserve">•  </w:t>
      </w:r>
      <w:r>
        <w:t>Service must be made at least 7 days before trial for most cases (was 3 days)</w:t>
      </w:r>
    </w:p>
    <w:p>
      <w:pPr>
        <w:ind w:left="720" w:hanging="360"/>
      </w:pPr>
      <w:r>
        <w:rPr>
          <w:color w:val="d4a017"/>
        </w:rPr>
        <w:t xml:space="preserve">•  </w:t>
      </w:r>
      <w:r>
        <w:t>Emergency cases under Section 132(C) and (D) still use the old rules: 3 days service, 5-10 day trial</w:t>
      </w:r>
    </w:p>
    <w:p>
      <w:pPr>
        <w:pStyle w:val="Heading2"/>
      </w:pPr>
      <w:r>
        <w:t>Constructive Service Limits</w:t>
      </w:r>
    </w:p>
    <w:p>
      <w:r>
        <w:t>If you serve by posting and certified mail under Section 1148.5A, you can only get the property back. You cannot get a money judgment for unpaid rent or damages unless the tenant actually comes to court.</w:t>
      </w:r>
    </w:p>
    <w:p>
      <w:pPr>
        <w:pStyle w:val="Heading2"/>
      </w:pPr>
      <w:r>
        <w:t>Who Can Serve</w:t>
      </w:r>
    </w:p>
    <w:p>
      <w:r>
        <w:t>Under 12 O.S. Section 2004, service can be made by:</w:t>
      </w:r>
    </w:p>
    <w:p>
      <w:pPr>
        <w:ind w:left="720" w:hanging="360"/>
      </w:pPr>
      <w:r>
        <w:rPr>
          <w:color w:val="d4a017"/>
        </w:rPr>
        <w:t xml:space="preserve">•  </w:t>
      </w:r>
      <w:r>
        <w:t>A sheriff or deputy sheriff</w:t>
      </w:r>
    </w:p>
    <w:p>
      <w:pPr>
        <w:ind w:left="720" w:hanging="360"/>
      </w:pPr>
      <w:r>
        <w:rPr>
          <w:color w:val="d4a017"/>
        </w:rPr>
        <w:t xml:space="preserve">•  </w:t>
      </w:r>
      <w:r>
        <w:t>A licensed private process server</w:t>
      </w:r>
    </w:p>
    <w:p>
      <w:pPr>
        <w:ind w:left="720" w:hanging="360"/>
      </w:pPr>
      <w:r>
        <w:rPr>
          <w:color w:val="d4a017"/>
        </w:rPr>
        <w:t xml:space="preserve">•  </w:t>
      </w:r>
      <w:r>
        <w:t>Any person specially appointed by the court</w:t>
      </w:r>
    </w:p>
    <w:p>
      <w:pPr>
        <w:pStyle w:val="Heading2"/>
      </w:pPr>
      <w:r>
        <w:t>Proof of Service</w:t>
      </w:r>
    </w:p>
    <w:p>
      <w:r>
        <w:t>After service is complete, the server must make proof of service promptly. The proof must include:</w:t>
      </w:r>
    </w:p>
    <w:p>
      <w:pPr>
        <w:ind w:left="720" w:hanging="360"/>
      </w:pPr>
      <w:r>
        <w:rPr>
          <w:color w:val="d4a017"/>
        </w:rPr>
        <w:t xml:space="preserve">•  </w:t>
      </w:r>
      <w:r>
        <w:t>The county where the summons was issued</w:t>
      </w:r>
    </w:p>
    <w:p>
      <w:pPr>
        <w:ind w:left="720" w:hanging="360"/>
      </w:pPr>
      <w:r>
        <w:rPr>
          <w:color w:val="d4a017"/>
        </w:rPr>
        <w:t xml:space="preserve">•  </w:t>
      </w:r>
      <w:r>
        <w:t>The name of the person served</w:t>
      </w:r>
    </w:p>
    <w:p>
      <w:pPr>
        <w:ind w:left="720" w:hanging="360"/>
      </w:pPr>
      <w:r>
        <w:rPr>
          <w:color w:val="d4a017"/>
        </w:rPr>
        <w:t xml:space="preserve">•  </w:t>
      </w:r>
      <w:r>
        <w:t>The date of service</w:t>
      </w:r>
    </w:p>
    <w:p>
      <w:pPr>
        <w:ind w:left="720" w:hanging="360"/>
      </w:pPr>
      <w:r>
        <w:rPr>
          <w:color w:val="d4a017"/>
        </w:rPr>
        <w:t xml:space="preserve">•  </w:t>
      </w:r>
      <w:r>
        <w:t>The place of service</w:t>
      </w:r>
    </w:p>
    <w:p>
      <w:pPr>
        <w:ind w:left="720" w:hanging="360"/>
      </w:pPr>
      <w:r>
        <w:rPr>
          <w:color w:val="d4a017"/>
        </w:rPr>
        <w:t xml:space="preserve">•  </w:t>
      </w:r>
      <w:r>
        <w:t>The method of service</w:t>
      </w:r>
    </w:p>
    <w:p>
      <w:r>
        <w:t>A licensed process server must make an affidavit. This is a sworn statement. File it with the court clerk.</w:t>
      </w:r>
    </w:p>
    <w:p>
      <w:pPr>
        <w:sectPr>
          <w:headerReference w:type="default" r:id="Rd37a8b48d0e14224"/>
          <w:footerReference w:type="default" r:id="R231dce93b6b245e9"/>
          <w:pgSz w:w="12240" w:h="15840"/>
          <w:pgMar w:top="1440" w:right="1440" w:bottom="1440" w:left="1440" w:header="720" w:footer="720"/>
        </w:sectPr>
      </w:pPr>
    </w:p>
    <w:p>
      <w:pPr>
        <w:spacing w:before="2400"/>
      </w:pPr>
      <w:r/>
    </w:p>
    <w:p>
      <w:pPr>
        <w:spacing w:after="400"/>
        <w:jc w:val="center"/>
      </w:pPr>
      <w:r>
        <w:rPr>
          <w:b/>
          <w:color w:val="1a2744"/>
          <w:sz w:val="36"/>
        </w:rPr>
        <w:t>Disclaimer</w:t>
      </w:r>
    </w:p>
    <w:p>
      <w:pPr>
        <w:spacing w:after="400"/>
        <w:jc w:val="center"/>
      </w:pPr>
      <w:r>
        <w:rPr>
          <w:b/>
          <w:color w:val="d4a017"/>
          <w:sz w:val="24"/>
        </w:rPr>
        <w:t>Not a Law Firm</w:t>
      </w:r>
    </w:p>
    <w:p>
      <w:pPr>
        <w:spacing w:after="300"/>
        <w:jc w:val="both"/>
      </w:pPr>
      <w:r>
        <w:rPr>
          <w:sz w:val="22"/>
        </w:rPr>
        <w:t>This document provides procedural information only. It is not legal advice. Just Legal Solutions is not a law firm. We do not provide legal counsel, represent clients in court, or offer opinions on legal strategy.</w:t>
      </w:r>
    </w:p>
    <w:p>
      <w:pPr>
        <w:spacing w:after="300"/>
        <w:jc w:val="both"/>
      </w:pPr>
      <w:r>
        <w:rPr>
          <w:sz w:val="22"/>
        </w:rPr>
        <w:t>The information in this guide comes from Oklahoma statutes and court rules as of the date shown below. Laws change. Court rules change. Always verify current requirements with the court clerk or a licensed attorney before taking action.</w:t>
      </w:r>
    </w:p>
    <w:p>
      <w:pPr>
        <w:spacing w:after="600"/>
        <w:jc w:val="both"/>
      </w:pPr>
      <w:r>
        <w:rPr>
          <w:sz w:val="22"/>
        </w:rPr>
        <w:t>If you need legal advice, contact a licensed Oklahoma attorney. The Oklahoma Bar Association can help you find one.</w:t>
      </w:r>
    </w:p>
    <w:p>
      <w:pPr>
        <w:pBdr>
          <w:bottom w:val="single" w:color="d4a017" w:sz="12" w:space="1"/>
        </w:pBdr>
        <w:spacing w:after="600"/>
        <w:ind w:left="2880" w:right="2880"/>
        <w:jc w:val="center"/>
      </w:pPr>
    </w:p>
    <w:p>
      <w:pPr>
        <w:spacing w:after="60"/>
        <w:jc w:val="center"/>
      </w:pPr>
      <w:r>
        <w:rPr>
          <w:color w:val="555555"/>
          <w:sz w:val="18"/>
        </w:rPr>
        <w:t>Version: v1.0  |  April 20, 2026</w:t>
      </w:r>
    </w:p>
    <w:p>
      <w:pPr>
        <w:spacing w:after="60"/>
        <w:jc w:val="center"/>
      </w:pPr>
      <w:r>
        <w:rPr>
          <w:color w:val="555555"/>
          <w:sz w:val="18"/>
        </w:rPr>
        <w:t>Verify before relying on procedural details</w:t>
      </w:r>
    </w:p>
    <w:p>
      <w:pPr>
        <w:spacing w:after="60"/>
        <w:jc w:val="center"/>
      </w:pPr>
      <w:r>
        <w:rPr>
          <w:color w:val="555555"/>
          <w:sz w:val="18"/>
        </w:rPr>
        <w:t>Next review: October 20, 2026</w:t>
      </w:r>
    </w:p>
    <w:p>
      <w:pPr>
        <w:spacing w:after="200"/>
        <w:jc w:val="center"/>
      </w:pPr>
      <w:r>
        <w:rPr>
          <w:color w:val="555555"/>
          <w:sz w:val="18"/>
        </w:rPr>
        <w:t>Sources: CITATIONS.json  |  justlegalsolutions.org</w:t>
      </w:r>
    </w:p>
    <w:p>
      <w:pPr>
        <w:jc w:val="center"/>
      </w:pPr>
      <w:r>
        <w:rPr>
          <w:b/>
          <w:color w:val="1a2744"/>
          <w:sz w:val="18"/>
        </w:rPr>
        <w:t>Just Legal Solutions  |  (539) 367-6832  |  info@JustLegalSolutions.org  |  justlegalsolutions.org</w:t>
      </w:r>
    </w:p>
    <w:p>
      <w:pPr>
        <w:jc w:val="center"/>
      </w:pPr>
      <w:r>
        <w:rPr>
          <w:color w:val="555555"/>
          <w:sz w:val="18"/>
        </w:rPr>
        <w:t>Joseph Iannazzi, NAPPS #14801</w:t>
      </w:r>
    </w:p>
    <w:sectPr>
      <w:pgSz w:w="12240" w:h="15840"/>
      <w:pgMar w:top="1440" w:right="1440" w:bottom="1440" w:left="1440" w:header="720" w:footer="720"/>
    </w:sectPr>
  </w:body>
</w:document>
</file>

<file path=word/footer1.xml><?xml version="1.0" encoding="utf-8"?>
<w:ftr xmlns:w="http://schemas.openxmlformats.org/wordprocessingml/2006/main">
  <w:p>
    <w:pPr>
      <w:pBdr>
        <w:top w:val="single" w:color="d4a017" w:sz="4" w:space="1"/>
      </w:pBdr>
      <w:jc w:val="center"/>
    </w:pPr>
    <w:r>
      <w:rPr>
        <w:color w:val="555555"/>
        <w:sz w:val="16"/>
      </w:rPr>
      <w:t>Just Legal Solutions  ·  (539) 367-6832  ·  info@JustLegalSolutions.org  ·  justlegalsolutions.org  ·  Joseph Iannazzi, NAPPS #14801</w:t>
    </w:r>
    <w:r>
      <w:t xml:space="preserve">  |  Page </w:t>
    </w:r>
    <w:r>
      <w:rPr>
        <w:color w:val="555555"/>
        <w:sz w:val="16"/>
      </w:rPr>
      <w:fldChar w:fldCharType="begin"/>
    </w:r>
    <w:r>
      <w:rPr>
        <w:color w:val="555555"/>
        <w:sz w:val="16"/>
      </w:rPr>
      <w:instrText xml:space="preserve"> PAGE </w:instrText>
    </w:r>
    <w:r>
      <w:rPr>
        <w:color w:val="555555"/>
        <w:sz w:val="16"/>
      </w:rPr>
      <w:fldChar w:fldCharType="separate"/>
    </w:r>
    <w:r>
      <w:rPr>
        <w:color w:val="555555"/>
        <w:sz w:val="16"/>
      </w:rPr>
      <w:t>1</w:t>
    </w:r>
    <w:r>
      <w:rPr>
        <w:color w:val="555555"/>
        <w:sz w:val="16"/>
      </w:rPr>
      <w:fldChar w:fldCharType="end"/>
    </w:r>
  </w:p>
</w:ftr>
</file>

<file path=word/header1.xml><?xml version="1.0" encoding="utf-8"?>
<w:hdr xmlns:w="http://schemas.openxmlformats.org/wordprocessingml/2006/main">
  <w:p>
    <w:pPr>
      <w:pBdr>
        <w:bottom w:val="single" w:color="d4a017" w:sz="6" w:space="1"/>
      </w:pBdr>
      <w:jc w:val="right"/>
    </w:pPr>
    <w:r>
      <w:rPr>
        <w:b/>
        <w:color w:val="1a2744"/>
        <w:sz w:val="18"/>
      </w:rPr>
      <w:t>Just Legal Solutions</w:t>
    </w:r>
    <w:r>
      <w:rPr>
        <w:color w:val="888888"/>
        <w:sz w:val="18"/>
      </w:rPr>
      <w:t xml:space="preserve">  |  How to Serve an Eviction Notice in Oklahoma</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200" w:line="288" w:lineRule="auto"/>
    </w:pPr>
    <w:rPr>
      <w:rFonts w:ascii="Calibri" w:hAnsi="Calibri" w:eastAsia="Calibri"/>
      <w:color w:val="2d2d2d"/>
      <w:sz w:val="22"/>
    </w:rPr>
  </w:style>
  <w:style w:type="paragraph" w:styleId="Heading1">
    <w:name w:val="heading 1"/>
    <w:basedOn w:val="Normal"/>
    <w:pPr>
      <w:keepNext/>
      <w:keepLines/>
      <w:spacing w:before="480" w:after="240"/>
      <w:outlineLvl w:val="0"/>
    </w:pPr>
    <w:rPr>
      <w:rFonts w:ascii="Calibri" w:hAnsi="Calibri" w:eastAsia="Calibri"/>
      <w:b/>
      <w:color w:val="1a2744"/>
      <w:sz w:val="40"/>
    </w:rPr>
  </w:style>
  <w:style w:type="paragraph" w:styleId="Heading2">
    <w:name w:val="heading 2"/>
    <w:basedOn w:val="Normal"/>
    <w:pPr>
      <w:keepNext/>
      <w:keepLines/>
      <w:spacing w:before="360" w:after="160"/>
      <w:outlineLvl w:val="1"/>
    </w:pPr>
    <w:rPr>
      <w:rFonts w:ascii="Calibri" w:hAnsi="Calibri" w:eastAsia="Calibri"/>
      <w:b/>
      <w:color w:val="1a2744"/>
      <w:sz w:val="28"/>
    </w:rPr>
  </w:style>
  <w:style w:type="paragraph" w:styleId="Heading3">
    <w:name w:val="heading 3"/>
    <w:basedOn w:val="Normal"/>
    <w:pPr>
      <w:keepNext/>
      <w:keepLines/>
      <w:spacing w:before="280" w:after="120"/>
      <w:outlineLvl w:val="2"/>
    </w:pPr>
    <w:rPr>
      <w:rFonts w:ascii="Calibri" w:hAnsi="Calibri" w:eastAsia="Calibri"/>
      <w:b/>
      <w:color w:val="2d2d2d"/>
      <w:sz w:val="24"/>
    </w:rPr>
  </w:style>
  <w:style w:type="paragraph" w:styleId="Caption">
    <w:name w:val="Caption"/>
    <w:basedOn w:val="Normal"/>
    <w:pPr>
      <w:spacing w:before="60" w:after="240"/>
      <w:jc w:val="center"/>
    </w:pPr>
    <w:rPr>
      <w:color w:val="888888"/>
      <w:sz w:val="20"/>
    </w:rPr>
  </w:style>
  <w:style w:type="paragraph" w:styleId="TOC1">
    <w:name w:val="toc 1"/>
    <w:basedOn w:val="Normal"/>
    <w:pPr>
      <w:tabs>
        <w:tab w:val="right" w:leader="dot" w:pos="9350"/>
      </w:tabs>
      <w:spacing w:before="240" w:after="60"/>
      <w:ind w:left="0"/>
    </w:pPr>
    <w:rPr>
      <w:b/>
      <w:color w:val="2d2d2d"/>
    </w:rPr>
  </w:style>
  <w:style w:type="paragraph" w:styleId="TOC2">
    <w:name w:val="toc 2"/>
    <w:basedOn w:val="Normal"/>
    <w:pPr>
      <w:tabs>
        <w:tab w:val="right" w:leader="dot" w:pos="9350"/>
      </w:tabs>
      <w:spacing w:before="60" w:after="60"/>
      <w:ind w:left="360"/>
    </w:pPr>
    <w:rPr>
      <w:color w:val="555555"/>
    </w:rPr>
  </w:style>
</w:styles>
</file>

<file path=word/_rels/document.xml.rels><?xml version='1.0' encoding='UTF-8'?>
<Relationships xmlns="http://schemas.openxmlformats.org/package/2006/relationships"><Relationship Type="http://schemas.openxmlformats.org/officeDocument/2006/relationships/styles" Target="styles.xml" Id="Rff83ae5ce7434914" /><Relationship Type="http://schemas.openxmlformats.org/officeDocument/2006/relationships/numbering" Target="numbering.xml" Id="R23db4c55921d48f4" /><Relationship Type="http://schemas.openxmlformats.org/officeDocument/2006/relationships/header" Target="header1.xml" Id="Rd37a8b48d0e14224" /><Relationship Type="http://schemas.openxmlformats.org/officeDocument/2006/relationships/footer" Target="footer1.xml" Id="R231dce93b6b245e9" /><Relationship Type="http://schemas.openxmlformats.org/officeDocument/2006/relationships/settings" Target="settings.xml" Id="R1f58c91b85d14b62" /></Relationships>
</file>