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b8b8031677d64c35" /></Relationships>
</file>

<file path=word/document.xml><?xml version="1.0" encoding="utf-8"?>
<w:document xmlns:r="http://schemas.openxmlformats.org/officeDocument/2006/relationships" xmlns:w="http://schemas.openxmlformats.org/wordprocessingml/2006/main">
  <w:body>
    <w:p>
      <w:pPr>
        <w:spacing w:before="2400"/>
      </w:pPr>
      <w:r/>
    </w:p>
    <w:p>
      <w:pPr>
        <w:pBdr>
          <w:bottom w:val="single" w:color="d4a017" w:sz="12" w:space="6"/>
        </w:pBdr>
        <w:spacing w:after="200"/>
        <w:jc w:val="center"/>
      </w:pPr>
      <w:r>
        <w:rPr>
          <w:b/>
          <w:color w:val="1a2744"/>
          <w:sz w:val="56"/>
        </w:rPr>
        <w:t>Debt Collector's Guide</w:t>
      </w:r>
    </w:p>
    <w:p>
      <w:pPr>
        <w:spacing w:after="80"/>
        <w:jc w:val="center"/>
      </w:pPr>
      <w:r>
        <w:rPr>
          <w:b/>
          <w:color w:val="1a2744"/>
          <w:sz w:val="44"/>
        </w:rPr>
        <w:t>to FDCPA and Service</w:t>
      </w:r>
    </w:p>
    <w:p>
      <w:pPr>
        <w:spacing w:after="400"/>
        <w:jc w:val="center"/>
      </w:pPr>
      <w:r>
        <w:rPr>
          <w:b/>
          <w:color w:val="1a2744"/>
          <w:sz w:val="44"/>
        </w:rPr>
        <w:t>in Oklahoma</w:t>
      </w:r>
    </w:p>
    <w:p>
      <w:pPr>
        <w:spacing w:after="200"/>
        <w:jc w:val="center"/>
      </w:pPr>
      <w:r>
        <w:rPr>
          <w:color w:val="d4a017"/>
          <w:sz w:val="24"/>
        </w:rPr>
        <w:t>———  A Compliance Guide for Collection Professionals  ———</w:t>
      </w:r>
    </w:p>
    <w:p>
      <w:pPr>
        <w:spacing w:before="600"/>
      </w:pPr>
      <w:r>
        <w:rPr>
          <w:color w:val="555555"/>
          <w:sz w:val="22"/>
        </w:rPr>
        <w:t>This guide covers federal rules for debt collection. It explains the Fair Debt Collection Practices Act (FDCPA) and how it affects service of collection documents in Oklahoma.</w:t>
      </w:r>
    </w:p>
    <w:p>
      <w:pPr>
        <w:spacing w:before="800"/>
      </w:pPr>
      <w:r>
        <w:rPr>
          <w:color w:val="888888"/>
          <w:sz w:val="20"/>
        </w:rPr>
        <w:t>Just Legal Solutions</w:t>
      </w:r>
      <w:r>
        <w:t xml:space="preserve">  |  </w:t>
      </w:r>
      <w:r>
        <w:rPr>
          <w:color w:val="888888"/>
          <w:sz w:val="20"/>
        </w:rPr>
        <w:t>Oklahoma Process Serving</w:t>
      </w:r>
    </w:p>
    <w:p>
      <w:r>
        <w:rPr>
          <w:color w:val="888888"/>
          <w:sz w:val="20"/>
        </w:rPr>
        <w:t>Version 1.0  |  April 20, 2026  |  Next Review: October 20, 2026</w:t>
      </w:r>
    </w:p>
    <w:p>
      <w:pPr>
        <w:sectPr>
          <w:type w:val="nextPage"/>
          <w:pgSz w:w="12240" w:h="15840"/>
          <w:pgMar w:top="0" w:right="1440" w:bottom="0" w:left="1440" w:header="0" w:footer="0"/>
          <w:titlePg/>
        </w:sectPr>
      </w:pPr>
    </w:p>
    <w:p>
      <w:pPr>
        <w:pStyle w:val="Heading1"/>
      </w:pPr>
      <w:r>
        <w:t>Table of Contents</w:t>
      </w:r>
    </w:p>
    <w:p>
      <w:r>
        <w:rPr>
          <w:color w:val="888888"/>
          <w:sz w:val="18"/>
        </w:rPr>
        <w:t>Right-click and select "Update Field" to refresh page numbers.</w:t>
      </w:r>
    </w:p>
    <w:p>
      <w:r>
        <w:fldChar w:fldCharType="begin"/>
      </w:r>
      <w:r>
        <w:instrText xml:space="preserve"> TOC \o "1-2" \h \z \u </w:instrText>
      </w:r>
      <w:r>
        <w:fldChar w:fldCharType="separate"/>
      </w:r>
    </w:p>
    <w:p>
      <w:pPr>
        <w:pStyle w:val="TOC1"/>
      </w:pPr>
      <w:r>
        <w:t>FDCPA Key Rules</w:t>
      </w:r>
      <w:r>
        <w:tab/>
      </w:r>
      <w:r>
        <w:t>3</w:t>
      </w:r>
    </w:p>
    <w:p>
      <w:pPr>
        <w:pStyle w:val="TOC1"/>
      </w:pPr>
      <w:r>
        <w:t>Service Methods</w:t>
      </w:r>
      <w:r>
        <w:tab/>
      </w:r>
      <w:r>
        <w:t>4</w:t>
      </w:r>
    </w:p>
    <w:p>
      <w:pPr>
        <w:pStyle w:val="TOC1"/>
      </w:pPr>
      <w:r>
        <w:t>Validation Notice Requirements</w:t>
      </w:r>
      <w:r>
        <w:tab/>
      </w:r>
      <w:r>
        <w:t>5</w:t>
      </w:r>
    </w:p>
    <w:p>
      <w:pPr>
        <w:pStyle w:val="TOC1"/>
      </w:pPr>
      <w:r>
        <w:t>Before You Serve Checklist</w:t>
      </w:r>
      <w:r>
        <w:tab/>
      </w:r>
      <w:r>
        <w:t>6</w:t>
      </w:r>
    </w:p>
    <w:p>
      <w:pPr>
        <w:pStyle w:val="TOC1"/>
      </w:pPr>
      <w:r>
        <w:t>Common Violations and Consequences</w:t>
      </w:r>
      <w:r>
        <w:tab/>
      </w:r>
      <w:r>
        <w:t>7</w:t>
      </w:r>
    </w:p>
    <w:p>
      <w:pPr>
        <w:pStyle w:val="TOC1"/>
      </w:pPr>
      <w:r>
        <w:t>Cease Communication Procedures</w:t>
      </w:r>
      <w:r>
        <w:tab/>
      </w:r>
      <w:r>
        <w:t>8</w:t>
      </w:r>
    </w:p>
    <w:p>
      <w:r>
        <w:fldChar w:fldCharType="end"/>
      </w:r>
    </w:p>
    <w:p>
      <w:pPr>
        <w:sectPr>
          <w:type w:val="nextPage"/>
          <w:pgSz w:w="12240" w:h="15840"/>
          <w:pgMar w:top="1440" w:right="1440" w:bottom="1440" w:left="1440" w:header="720" w:footer="720"/>
        </w:sectPr>
      </w:pPr>
    </w:p>
    <w:p>
      <w:pPr>
        <w:pStyle w:val="Heading1"/>
      </w:pPr>
      <w:r>
        <w:t>FDCPA Key Rules</w:t>
      </w:r>
      <w:bookmarkStart w:name="_Toc001" w:id="1"/>
      <w:bookmarkEnd w:id="1"/>
    </w:p>
    <w:p>
      <w:pPr>
        <w:spacing w:after="160"/>
      </w:pPr>
      <w:r>
        <w:t>The Fair Debt Collection Practices Act (FDCPA) is a federal law. It applies to all debt collection in Oklahoma. Oklahoma does not have a separate state debt collection law. The FDCPA protects consumers from unfair, deceptive, or abusive collection practices.</w:t>
      </w:r>
    </w:p>
    <w:p>
      <w:pPr>
        <w:spacing w:after="160"/>
      </w:pPr>
      <w:r>
        <w:t>The FDCPA covers debts for personal, family, or household purposes. It applies to third-party debt collectors. It does not apply to creditors collecting their own debts.</w:t>
      </w:r>
    </w:p>
    <w:tbl>
      <w:tblPr>
        <w:tblW w:w="5000" w:type="pct"/>
        <w:tblBorders>
          <w:top w:val="single" w:color="1a2744" w:sz="12"/>
          <w:left w:val="nil"/>
          <w:bottom w:val="single" w:color="1a2744" w:sz="12"/>
          <w:right w:val="nil"/>
          <w:insideH w:val="single" w:color="cccccc" w:sz="4"/>
          <w:insideV w:val="nil"/>
        </w:tblBorders>
      </w:tblPr>
      <w:tblGrid>
        <w:gridCol w:w="2400"/>
        <w:gridCol w:w="2400"/>
        <w:gridCol w:w="4800"/>
      </w:tblGrid>
      <w:tr>
        <w:trPr>
          <w:tblHeader/>
        </w:trPr>
        <w:tc>
          <w:tcPr>
            <w:tcW w:w="2400" w:type="dxa"/>
            <w:shd w:val="clear" w:fill="1a2744"/>
          </w:tcPr>
          <w:p>
            <w:pPr>
              <w:spacing w:before="60" w:after="60"/>
              <w:jc w:val="left"/>
            </w:pPr>
            <w:r>
              <w:rPr>
                <w:b/>
                <w:color w:val="FFFFFF"/>
                <w:sz w:val="20"/>
              </w:rPr>
              <w:t>Rule</w:t>
            </w:r>
          </w:p>
        </w:tc>
        <w:tc>
          <w:tcPr>
            <w:tcW w:w="2400" w:type="dxa"/>
            <w:shd w:val="clear" w:fill="1a2744"/>
          </w:tcPr>
          <w:p>
            <w:pPr>
              <w:spacing w:before="60" w:after="60"/>
              <w:jc w:val="left"/>
            </w:pPr>
            <w:r>
              <w:rPr>
                <w:b/>
                <w:color w:val="FFFFFF"/>
                <w:sz w:val="20"/>
              </w:rPr>
              <w:t>Statute</w:t>
            </w:r>
          </w:p>
        </w:tc>
        <w:tc>
          <w:tcPr>
            <w:tcW w:w="4800" w:type="dxa"/>
            <w:shd w:val="clear" w:fill="1a2744"/>
          </w:tcPr>
          <w:p>
            <w:pPr>
              <w:spacing w:before="60" w:after="60"/>
              <w:jc w:val="left"/>
            </w:pPr>
            <w:r>
              <w:rPr>
                <w:b/>
                <w:color w:val="FFFFFF"/>
                <w:sz w:val="20"/>
              </w:rPr>
              <w:t>What It Means for Collectors</w:t>
            </w:r>
          </w:p>
        </w:tc>
      </w:tr>
      <w:tr>
        <w:tc>
          <w:tcPr>
            <w:tcW w:w="2400" w:type="dxa"/>
          </w:tcPr>
          <w:p>
            <w:pPr>
              <w:spacing w:before="40" w:after="40"/>
            </w:pPr>
            <w:r>
              <w:rPr>
                <w:color w:val="2b2b2b"/>
                <w:sz w:val="20"/>
              </w:rPr>
              <w:t>Time Restrictions</w:t>
            </w:r>
          </w:p>
        </w:tc>
        <w:tc>
          <w:tcPr>
            <w:tcW w:w="2400" w:type="dxa"/>
          </w:tcPr>
          <w:p>
            <w:pPr>
              <w:spacing w:before="40" w:after="40"/>
            </w:pPr>
            <w:r>
              <w:rPr>
                <w:color w:val="2b2b2b"/>
                <w:sz w:val="20"/>
              </w:rPr>
              <w:t>15 U.S.C. §1692c(a)(1)</w:t>
            </w:r>
          </w:p>
        </w:tc>
        <w:tc>
          <w:tcPr>
            <w:tcW w:w="4800" w:type="dxa"/>
          </w:tcPr>
          <w:p>
            <w:pPr>
              <w:spacing w:before="40" w:after="40"/>
            </w:pPr>
            <w:r>
              <w:rPr>
                <w:color w:val="2b2b2b"/>
                <w:sz w:val="20"/>
              </w:rPr>
              <w:t>Cannot call before 8:00 a.m. or after 9:00 p.m. local time unless the consumer agrees.</w:t>
            </w:r>
          </w:p>
        </w:tc>
      </w:tr>
      <w:tr>
        <w:tc>
          <w:tcPr>
            <w:tcW w:w="2400" w:type="dxa"/>
            <w:shd w:val="clear" w:fill="f5f5f5"/>
          </w:tcPr>
          <w:p>
            <w:pPr>
              <w:spacing w:before="40" w:after="40"/>
            </w:pPr>
            <w:r>
              <w:rPr>
                <w:color w:val="2b2b2b"/>
                <w:sz w:val="20"/>
              </w:rPr>
              <w:t>Attorney Representation</w:t>
            </w:r>
          </w:p>
        </w:tc>
        <w:tc>
          <w:tcPr>
            <w:tcW w:w="2400" w:type="dxa"/>
            <w:shd w:val="clear" w:fill="f5f5f5"/>
          </w:tcPr>
          <w:p>
            <w:pPr>
              <w:spacing w:before="40" w:after="40"/>
            </w:pPr>
            <w:r>
              <w:rPr>
                <w:color w:val="2b2b2b"/>
                <w:sz w:val="20"/>
              </w:rPr>
              <w:t>15 U.S.C. §1692c(a)(2)</w:t>
            </w:r>
          </w:p>
        </w:tc>
        <w:tc>
          <w:tcPr>
            <w:tcW w:w="4800" w:type="dxa"/>
            <w:shd w:val="clear" w:fill="f5f5f5"/>
          </w:tcPr>
          <w:p>
            <w:pPr>
              <w:spacing w:before="40" w:after="40"/>
            </w:pPr>
            <w:r>
              <w:rPr>
                <w:color w:val="2b2b2b"/>
                <w:sz w:val="20"/>
              </w:rPr>
              <w:t>Must stop contacting the consumer if you know they have an attorney. Contact the attorney only.</w:t>
            </w:r>
          </w:p>
        </w:tc>
      </w:tr>
      <w:tr>
        <w:tc>
          <w:tcPr>
            <w:tcW w:w="2400" w:type="dxa"/>
          </w:tcPr>
          <w:p>
            <w:pPr>
              <w:spacing w:before="40" w:after="40"/>
            </w:pPr>
            <w:r>
              <w:rPr>
                <w:color w:val="2b2b2b"/>
                <w:sz w:val="20"/>
              </w:rPr>
              <w:t>Third-Party Contact</w:t>
            </w:r>
          </w:p>
        </w:tc>
        <w:tc>
          <w:tcPr>
            <w:tcW w:w="2400" w:type="dxa"/>
          </w:tcPr>
          <w:p>
            <w:pPr>
              <w:spacing w:before="40" w:after="40"/>
            </w:pPr>
            <w:r>
              <w:rPr>
                <w:color w:val="2b2b2b"/>
                <w:sz w:val="20"/>
              </w:rPr>
              <w:t>15 U.S.C. §1692c(b)</w:t>
            </w:r>
          </w:p>
        </w:tc>
        <w:tc>
          <w:tcPr>
            <w:tcW w:w="4800" w:type="dxa"/>
          </w:tcPr>
          <w:p>
            <w:pPr>
              <w:spacing w:before="40" w:after="40"/>
            </w:pPr>
            <w:r>
              <w:rPr>
                <w:color w:val="2b2b2b"/>
                <w:sz w:val="20"/>
              </w:rPr>
              <w:t>Cannot talk to neighbors, family, or employers about the debt without consent. Location searches are limited.</w:t>
            </w:r>
          </w:p>
        </w:tc>
      </w:tr>
      <w:tr>
        <w:tc>
          <w:tcPr>
            <w:tcW w:w="2400" w:type="dxa"/>
            <w:shd w:val="clear" w:fill="f5f5f5"/>
          </w:tcPr>
          <w:p>
            <w:pPr>
              <w:spacing w:before="40" w:after="40"/>
            </w:pPr>
            <w:r>
              <w:rPr>
                <w:color w:val="2b2b2b"/>
                <w:sz w:val="20"/>
              </w:rPr>
              <w:t>Harassment Ban</w:t>
            </w:r>
          </w:p>
        </w:tc>
        <w:tc>
          <w:tcPr>
            <w:tcW w:w="2400" w:type="dxa"/>
            <w:shd w:val="clear" w:fill="f5f5f5"/>
          </w:tcPr>
          <w:p>
            <w:pPr>
              <w:spacing w:before="40" w:after="40"/>
            </w:pPr>
            <w:r>
              <w:rPr>
                <w:color w:val="2b2b2b"/>
                <w:sz w:val="20"/>
              </w:rPr>
              <w:t>15 U.S.C. §1692d</w:t>
            </w:r>
          </w:p>
        </w:tc>
        <w:tc>
          <w:tcPr>
            <w:tcW w:w="4800" w:type="dxa"/>
            <w:shd w:val="clear" w:fill="f5f5f5"/>
          </w:tcPr>
          <w:p>
            <w:pPr>
              <w:spacing w:before="40" w:after="40"/>
            </w:pPr>
            <w:r>
              <w:rPr>
                <w:color w:val="2b2b2b"/>
                <w:sz w:val="20"/>
              </w:rPr>
              <w:t>No threats, violence, obscene language, or repeated calls to annoy.</w:t>
            </w:r>
          </w:p>
        </w:tc>
      </w:tr>
      <w:tr>
        <w:tc>
          <w:tcPr>
            <w:tcW w:w="2400" w:type="dxa"/>
          </w:tcPr>
          <w:p>
            <w:pPr>
              <w:spacing w:before="40" w:after="40"/>
            </w:pPr>
            <w:r>
              <w:rPr>
                <w:color w:val="2b2b2b"/>
                <w:sz w:val="20"/>
              </w:rPr>
              <w:t>False Statements</w:t>
            </w:r>
          </w:p>
        </w:tc>
        <w:tc>
          <w:tcPr>
            <w:tcW w:w="2400" w:type="dxa"/>
          </w:tcPr>
          <w:p>
            <w:pPr>
              <w:spacing w:before="40" w:after="40"/>
            </w:pPr>
            <w:r>
              <w:rPr>
                <w:color w:val="2b2b2b"/>
                <w:sz w:val="20"/>
              </w:rPr>
              <w:t>15 U.S.C. §1692e</w:t>
            </w:r>
          </w:p>
        </w:tc>
        <w:tc>
          <w:tcPr>
            <w:tcW w:w="4800" w:type="dxa"/>
          </w:tcPr>
          <w:p>
            <w:pPr>
              <w:spacing w:before="40" w:after="40"/>
            </w:pPr>
            <w:r>
              <w:rPr>
                <w:color w:val="2b2b2b"/>
                <w:sz w:val="20"/>
              </w:rPr>
              <w:t>Cannot lie about the debt amount, legal status, or consequences of nonpayment.</w:t>
            </w:r>
          </w:p>
        </w:tc>
      </w:tr>
      <w:tr>
        <w:tc>
          <w:tcPr>
            <w:tcW w:w="2400" w:type="dxa"/>
            <w:shd w:val="clear" w:fill="f5f5f5"/>
          </w:tcPr>
          <w:p>
            <w:pPr>
              <w:spacing w:before="40" w:after="40"/>
            </w:pPr>
            <w:r>
              <w:rPr>
                <w:color w:val="2b2b2b"/>
                <w:sz w:val="20"/>
              </w:rPr>
              <w:t>Unfair Practices</w:t>
            </w:r>
          </w:p>
        </w:tc>
        <w:tc>
          <w:tcPr>
            <w:tcW w:w="2400" w:type="dxa"/>
            <w:shd w:val="clear" w:fill="f5f5f5"/>
          </w:tcPr>
          <w:p>
            <w:pPr>
              <w:spacing w:before="40" w:after="40"/>
            </w:pPr>
            <w:r>
              <w:rPr>
                <w:color w:val="2b2b2b"/>
                <w:sz w:val="20"/>
              </w:rPr>
              <w:t>15 U.S.C. §1692f</w:t>
            </w:r>
          </w:p>
        </w:tc>
        <w:tc>
          <w:tcPr>
            <w:tcW w:w="4800" w:type="dxa"/>
            <w:shd w:val="clear" w:fill="f5f5f5"/>
          </w:tcPr>
          <w:p>
            <w:pPr>
              <w:spacing w:before="40" w:after="40"/>
            </w:pPr>
            <w:r>
              <w:rPr>
                <w:color w:val="2b2b2b"/>
                <w:sz w:val="20"/>
              </w:rPr>
              <w:t>Cannot collect extra fees not in the contract. Cannot use postcards. Cannot deposit postdated checks early.</w:t>
            </w:r>
          </w:p>
        </w:tc>
      </w:tr>
      <w:tr>
        <w:tc>
          <w:tcPr>
            <w:tcW w:w="2400" w:type="dxa"/>
          </w:tcPr>
          <w:p>
            <w:pPr>
              <w:spacing w:before="40" w:after="40"/>
            </w:pPr>
            <w:r>
              <w:rPr>
                <w:color w:val="2b2b2b"/>
                <w:sz w:val="20"/>
              </w:rPr>
              <w:t>Validation Notice</w:t>
            </w:r>
          </w:p>
        </w:tc>
        <w:tc>
          <w:tcPr>
            <w:tcW w:w="2400" w:type="dxa"/>
          </w:tcPr>
          <w:p>
            <w:pPr>
              <w:spacing w:before="40" w:after="40"/>
            </w:pPr>
            <w:r>
              <w:rPr>
                <w:color w:val="2b2b2b"/>
                <w:sz w:val="20"/>
              </w:rPr>
              <w:t>15 U.S.C. §1692g</w:t>
            </w:r>
          </w:p>
        </w:tc>
        <w:tc>
          <w:tcPr>
            <w:tcW w:w="4800" w:type="dxa"/>
          </w:tcPr>
          <w:p>
            <w:pPr>
              <w:spacing w:before="40" w:after="40"/>
            </w:pPr>
            <w:r>
              <w:rPr>
                <w:color w:val="2b2b2b"/>
                <w:sz w:val="20"/>
              </w:rPr>
              <w:t>Must send written notice within 5 days of first contact. Must include 30-day dispute right.</w:t>
            </w:r>
          </w:p>
        </w:tc>
      </w:tr>
      <w:tr>
        <w:tc>
          <w:tcPr>
            <w:tcW w:w="2400" w:type="dxa"/>
            <w:shd w:val="clear" w:fill="f5f5f5"/>
          </w:tcPr>
          <w:p>
            <w:pPr>
              <w:spacing w:before="40" w:after="40"/>
            </w:pPr>
            <w:r>
              <w:rPr>
                <w:color w:val="2b2b2b"/>
                <w:sz w:val="20"/>
              </w:rPr>
              <w:t>Cease Communication</w:t>
            </w:r>
          </w:p>
        </w:tc>
        <w:tc>
          <w:tcPr>
            <w:tcW w:w="2400" w:type="dxa"/>
            <w:shd w:val="clear" w:fill="f5f5f5"/>
          </w:tcPr>
          <w:p>
            <w:pPr>
              <w:spacing w:before="40" w:after="40"/>
            </w:pPr>
            <w:r>
              <w:rPr>
                <w:color w:val="2b2b2b"/>
                <w:sz w:val="20"/>
              </w:rPr>
              <w:t>15 U.S.C. §1692c(c)</w:t>
            </w:r>
          </w:p>
        </w:tc>
        <w:tc>
          <w:tcPr>
            <w:tcW w:w="4800" w:type="dxa"/>
            <w:shd w:val="clear" w:fill="f5f5f5"/>
          </w:tcPr>
          <w:p>
            <w:pPr>
              <w:spacing w:before="40" w:after="40"/>
            </w:pPr>
            <w:r>
              <w:rPr>
                <w:color w:val="2b2b2b"/>
                <w:sz w:val="20"/>
              </w:rPr>
              <w:t>Must stop all contact if consumer sends written request, with limited exceptions.</w:t>
            </w:r>
          </w:p>
        </w:tc>
      </w:tr>
      <w:tr>
        <w:tc>
          <w:tcPr>
            <w:tcW w:w="2400" w:type="dxa"/>
          </w:tcPr>
          <w:p>
            <w:pPr>
              <w:spacing w:before="40" w:after="40"/>
            </w:pPr>
            <w:r>
              <w:rPr>
                <w:color w:val="2b2b2b"/>
                <w:sz w:val="20"/>
              </w:rPr>
              <w:t>Civil Liability</w:t>
            </w:r>
          </w:p>
        </w:tc>
        <w:tc>
          <w:tcPr>
            <w:tcW w:w="2400" w:type="dxa"/>
          </w:tcPr>
          <w:p>
            <w:pPr>
              <w:spacing w:before="40" w:after="40"/>
            </w:pPr>
            <w:r>
              <w:rPr>
                <w:color w:val="2b2b2b"/>
                <w:sz w:val="20"/>
              </w:rPr>
              <w:t>15 U.S.C. §1692k</w:t>
            </w:r>
          </w:p>
        </w:tc>
        <w:tc>
          <w:tcPr>
            <w:tcW w:w="4800" w:type="dxa"/>
          </w:tcPr>
          <w:p>
            <w:pPr>
              <w:spacing w:before="40" w:after="40"/>
            </w:pPr>
            <w:r>
              <w:rPr>
                <w:color w:val="2b2b2b"/>
                <w:sz w:val="20"/>
              </w:rPr>
              <w:t>Violators face actual damages, up to $1,000 statutory damages, plus attorney fees per violation.</w:t>
            </w:r>
          </w:p>
        </w:tc>
      </w:tr>
    </w:tbl>
    <w:p>
      <w:pPr>
        <w:spacing w:before="200"/>
      </w:pPr>
    </w:p>
    <w:p>
      <w:pPr>
        <w:pStyle w:val="Heading2"/>
      </w:pPr>
      <w:r>
        <w:t>CFPB Regulation F Updates</w:t>
      </w:r>
    </w:p>
    <w:p>
      <w:pPr>
        <w:spacing w:after="160"/>
      </w:pPr>
      <w:r>
        <w:t>The Consumer Financial Protection Bureau (CFPB) issued Regulation F. It took effect November 30, 2021. This rule adds detail to the FDCPA.</w:t>
      </w:r>
    </w:p>
    <w:tbl>
      <w:tblPr>
        <w:tblW w:w="5000" w:type="pct"/>
        <w:tblBorders>
          <w:top w:val="single" w:color="1a2744" w:sz="12"/>
          <w:left w:val="nil"/>
          <w:bottom w:val="single" w:color="1a2744" w:sz="12"/>
          <w:right w:val="nil"/>
          <w:insideH w:val="single" w:color="cccccc" w:sz="4"/>
          <w:insideV w:val="nil"/>
        </w:tblBorders>
      </w:tblPr>
      <w:tblGrid>
        <w:gridCol w:w="3000"/>
        <w:gridCol w:w="6600"/>
      </w:tblGrid>
      <w:tr>
        <w:trPr>
          <w:tblHeader/>
        </w:trPr>
        <w:tc>
          <w:tcPr>
            <w:tcW w:w="3000" w:type="dxa"/>
            <w:shd w:val="clear" w:fill="1a2744"/>
          </w:tcPr>
          <w:p>
            <w:pPr>
              <w:spacing w:before="60" w:after="60"/>
              <w:jc w:val="left"/>
            </w:pPr>
            <w:r>
              <w:rPr>
                <w:b/>
                <w:color w:val="FFFFFF"/>
                <w:sz w:val="20"/>
              </w:rPr>
              <w:t>Regulation F Rule</w:t>
            </w:r>
          </w:p>
        </w:tc>
        <w:tc>
          <w:tcPr>
            <w:tcW w:w="6600" w:type="dxa"/>
            <w:shd w:val="clear" w:fill="1a2744"/>
          </w:tcPr>
          <w:p>
            <w:pPr>
              <w:spacing w:before="60" w:after="60"/>
              <w:jc w:val="left"/>
            </w:pPr>
            <w:r>
              <w:rPr>
                <w:b/>
                <w:color w:val="FFFFFF"/>
                <w:sz w:val="20"/>
              </w:rPr>
              <w:t>What It Means</w:t>
            </w:r>
          </w:p>
        </w:tc>
      </w:tr>
      <w:tr>
        <w:tc>
          <w:tcPr>
            <w:tcW w:w="3000" w:type="dxa"/>
          </w:tcPr>
          <w:p>
            <w:pPr>
              <w:spacing w:before="40" w:after="40"/>
            </w:pPr>
            <w:r>
              <w:rPr>
                <w:color w:val="2b2b2b"/>
                <w:sz w:val="20"/>
              </w:rPr>
              <w:t>Call Frequency Limit</w:t>
            </w:r>
          </w:p>
        </w:tc>
        <w:tc>
          <w:tcPr>
            <w:tcW w:w="6600" w:type="dxa"/>
          </w:tcPr>
          <w:p>
            <w:pPr>
              <w:spacing w:before="40" w:after="40"/>
            </w:pPr>
            <w:r>
              <w:rPr>
                <w:color w:val="2b2b2b"/>
                <w:sz w:val="20"/>
              </w:rPr>
              <w:t>No more than 7 calls in 7 days to the same consumer about the same debt.</w:t>
            </w:r>
          </w:p>
        </w:tc>
      </w:tr>
      <w:tr>
        <w:tc>
          <w:tcPr>
            <w:tcW w:w="3000" w:type="dxa"/>
            <w:shd w:val="clear" w:fill="f5f5f5"/>
          </w:tcPr>
          <w:p>
            <w:pPr>
              <w:spacing w:before="40" w:after="40"/>
            </w:pPr>
            <w:r>
              <w:rPr>
                <w:color w:val="2b2b2b"/>
                <w:sz w:val="20"/>
              </w:rPr>
              <w:t>Electronic Communication</w:t>
            </w:r>
          </w:p>
        </w:tc>
        <w:tc>
          <w:tcPr>
            <w:tcW w:w="6600" w:type="dxa"/>
            <w:shd w:val="clear" w:fill="f5f5f5"/>
          </w:tcPr>
          <w:p>
            <w:pPr>
              <w:spacing w:before="40" w:after="40"/>
            </w:pPr>
            <w:r>
              <w:rPr>
                <w:color w:val="2b2b2b"/>
                <w:sz w:val="20"/>
              </w:rPr>
              <w:t>Email and text messages are allowed if the consumer consents. Must include opt-out.</w:t>
            </w:r>
          </w:p>
        </w:tc>
      </w:tr>
      <w:tr>
        <w:tc>
          <w:tcPr>
            <w:tcW w:w="3000" w:type="dxa"/>
          </w:tcPr>
          <w:p>
            <w:pPr>
              <w:spacing w:before="40" w:after="40"/>
            </w:pPr>
            <w:r>
              <w:rPr>
                <w:color w:val="2b2b2b"/>
                <w:sz w:val="20"/>
              </w:rPr>
              <w:t>Model Validation Notice</w:t>
            </w:r>
          </w:p>
        </w:tc>
        <w:tc>
          <w:tcPr>
            <w:tcW w:w="6600" w:type="dxa"/>
          </w:tcPr>
          <w:p>
            <w:pPr>
              <w:spacing w:before="40" w:after="40"/>
            </w:pPr>
            <w:r>
              <w:rPr>
                <w:color w:val="2b2b2b"/>
                <w:sz w:val="20"/>
              </w:rPr>
              <w:t>Safe harbor if you use the CFPB model form. Must include itemization and creditor info.</w:t>
            </w:r>
          </w:p>
        </w:tc>
      </w:tr>
      <w:tr>
        <w:tc>
          <w:tcPr>
            <w:tcW w:w="3000" w:type="dxa"/>
            <w:shd w:val="clear" w:fill="f5f5f5"/>
          </w:tcPr>
          <w:p>
            <w:pPr>
              <w:spacing w:before="40" w:after="40"/>
            </w:pPr>
            <w:r>
              <w:rPr>
                <w:color w:val="2b2b2b"/>
                <w:sz w:val="20"/>
              </w:rPr>
              <w:t>Time-Barred Debt</w:t>
            </w:r>
          </w:p>
        </w:tc>
        <w:tc>
          <w:tcPr>
            <w:tcW w:w="6600" w:type="dxa"/>
            <w:shd w:val="clear" w:fill="f5f5f5"/>
          </w:tcPr>
          <w:p>
            <w:pPr>
              <w:spacing w:before="40" w:after="40"/>
            </w:pPr>
            <w:r>
              <w:rPr>
                <w:color w:val="2b2b2b"/>
                <w:sz w:val="20"/>
              </w:rPr>
              <w:t>Cannot sue on debt past the statute of limitations without clear disclosure.</w:t>
            </w:r>
          </w:p>
        </w:tc>
      </w:tr>
    </w:tbl>
    <w:p>
      <w:pPr>
        <w:spacing w:after="160"/>
      </w:pPr>
      <w:r>
        <w:t>Source: 12 CFR Part 1006 (Regulation F), effective November 30, 2021.</w:t>
      </w:r>
    </w:p>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Service Methods</w:t>
      </w:r>
      <w:bookmarkStart w:name="_Toc002" w:id="2"/>
      <w:bookmarkEnd w:id="2"/>
    </w:p>
    <w:p>
      <w:pPr>
        <w:spacing w:after="160"/>
      </w:pPr>
      <w:r>
        <w:t>Debt collectors may need to serve collection-related court documents. This section shows permitted and prohibited methods under Oklahoma and federal law.</w:t>
      </w:r>
    </w:p>
    <w:p>
      <w:pPr>
        <w:pStyle w:val="Heading2"/>
      </w:pPr>
      <w:r>
        <w:t>Permitted Service Methods in Oklahoma</w:t>
      </w:r>
    </w:p>
    <w:tbl>
      <w:tblPr>
        <w:tblW w:w="5000" w:type="pct"/>
        <w:tblBorders>
          <w:top w:val="single" w:color="1a2744" w:sz="12"/>
          <w:left w:val="nil"/>
          <w:bottom w:val="single" w:color="1a2744" w:sz="12"/>
          <w:right w:val="nil"/>
          <w:insideH w:val="single" w:color="cccccc" w:sz="4"/>
          <w:insideV w:val="nil"/>
        </w:tblBorders>
      </w:tblPr>
      <w:tblGrid>
        <w:gridCol w:w="2400"/>
        <w:gridCol w:w="3600"/>
        <w:gridCol w:w="3600"/>
      </w:tblGrid>
      <w:tr>
        <w:trPr>
          <w:tblHeader/>
        </w:trPr>
        <w:tc>
          <w:tcPr>
            <w:tcW w:w="2400" w:type="dxa"/>
            <w:shd w:val="clear" w:fill="1a2744"/>
          </w:tcPr>
          <w:p>
            <w:pPr>
              <w:spacing w:before="60" w:after="60"/>
              <w:jc w:val="left"/>
            </w:pPr>
            <w:r>
              <w:rPr>
                <w:b/>
                <w:color w:val="FFFFFF"/>
                <w:sz w:val="20"/>
              </w:rPr>
              <w:t>Method</w:t>
            </w:r>
          </w:p>
        </w:tc>
        <w:tc>
          <w:tcPr>
            <w:tcW w:w="3600" w:type="dxa"/>
            <w:shd w:val="clear" w:fill="1a2744"/>
          </w:tcPr>
          <w:p>
            <w:pPr>
              <w:spacing w:before="60" w:after="60"/>
              <w:jc w:val="left"/>
            </w:pPr>
            <w:r>
              <w:rPr>
                <w:b/>
                <w:color w:val="FFFFFF"/>
                <w:sz w:val="20"/>
              </w:rPr>
              <w:t>Description</w:t>
            </w:r>
          </w:p>
        </w:tc>
        <w:tc>
          <w:tcPr>
            <w:tcW w:w="3600" w:type="dxa"/>
            <w:shd w:val="clear" w:fill="1a2744"/>
          </w:tcPr>
          <w:p>
            <w:pPr>
              <w:spacing w:before="60" w:after="60"/>
              <w:jc w:val="left"/>
            </w:pPr>
            <w:r>
              <w:rPr>
                <w:b/>
                <w:color w:val="FFFFFF"/>
                <w:sz w:val="20"/>
              </w:rPr>
              <w:t>Legal Basis</w:t>
            </w:r>
          </w:p>
        </w:tc>
      </w:tr>
      <w:tr>
        <w:tc>
          <w:tcPr>
            <w:tcW w:w="2400" w:type="dxa"/>
          </w:tcPr>
          <w:p>
            <w:pPr>
              <w:spacing w:before="40" w:after="40"/>
            </w:pPr>
            <w:r>
              <w:rPr>
                <w:color w:val="2b2b2b"/>
                <w:sz w:val="20"/>
              </w:rPr>
              <w:t>Personal Delivery</w:t>
            </w:r>
          </w:p>
        </w:tc>
        <w:tc>
          <w:tcPr>
            <w:tcW w:w="3600" w:type="dxa"/>
          </w:tcPr>
          <w:p>
            <w:pPr>
              <w:spacing w:before="40" w:after="40"/>
            </w:pPr>
            <w:r>
              <w:rPr>
                <w:color w:val="2b2b2b"/>
                <w:sz w:val="20"/>
              </w:rPr>
              <w:t>Handing copies to the debtor in person. This is the preferred method.</w:t>
            </w:r>
          </w:p>
        </w:tc>
        <w:tc>
          <w:tcPr>
            <w:tcW w:w="3600" w:type="dxa"/>
          </w:tcPr>
          <w:p>
            <w:pPr>
              <w:spacing w:before="40" w:after="40"/>
            </w:pPr>
            <w:r>
              <w:rPr>
                <w:color w:val="2b2b2b"/>
                <w:sz w:val="20"/>
              </w:rPr>
              <w:t>12 O.S. §2004(C)(1)(c)(1)</w:t>
            </w:r>
          </w:p>
        </w:tc>
      </w:tr>
      <w:tr>
        <w:tc>
          <w:tcPr>
            <w:tcW w:w="2400" w:type="dxa"/>
            <w:shd w:val="clear" w:fill="f5f5f5"/>
          </w:tcPr>
          <w:p>
            <w:pPr>
              <w:spacing w:before="40" w:after="40"/>
            </w:pPr>
            <w:r>
              <w:rPr>
                <w:color w:val="2b2b2b"/>
                <w:sz w:val="20"/>
              </w:rPr>
              <w:t>Substituted Service</w:t>
            </w:r>
          </w:p>
        </w:tc>
        <w:tc>
          <w:tcPr>
            <w:tcW w:w="3600" w:type="dxa"/>
            <w:shd w:val="clear" w:fill="f5f5f5"/>
          </w:tcPr>
          <w:p>
            <w:pPr>
              <w:spacing w:before="40" w:after="40"/>
            </w:pPr>
            <w:r>
              <w:rPr>
                <w:color w:val="2b2b2b"/>
                <w:sz w:val="20"/>
              </w:rPr>
              <w:t>Leaving copies at the debtor's home with someone age 15+ who lives there.</w:t>
            </w:r>
          </w:p>
        </w:tc>
        <w:tc>
          <w:tcPr>
            <w:tcW w:w="3600" w:type="dxa"/>
            <w:shd w:val="clear" w:fill="f5f5f5"/>
          </w:tcPr>
          <w:p>
            <w:pPr>
              <w:spacing w:before="40" w:after="40"/>
            </w:pPr>
            <w:r>
              <w:rPr>
                <w:color w:val="2b2b2b"/>
                <w:sz w:val="20"/>
              </w:rPr>
              <w:t>12 O.S. §2004(C)(1)(c)(1)</w:t>
            </w:r>
          </w:p>
        </w:tc>
      </w:tr>
      <w:tr>
        <w:tc>
          <w:tcPr>
            <w:tcW w:w="2400" w:type="dxa"/>
          </w:tcPr>
          <w:p>
            <w:pPr>
              <w:spacing w:before="40" w:after="40"/>
            </w:pPr>
            <w:r>
              <w:rPr>
                <w:color w:val="2b2b2b"/>
                <w:sz w:val="20"/>
              </w:rPr>
              <w:t>Certified Mail</w:t>
            </w:r>
          </w:p>
        </w:tc>
        <w:tc>
          <w:tcPr>
            <w:tcW w:w="3600" w:type="dxa"/>
          </w:tcPr>
          <w:p>
            <w:pPr>
              <w:spacing w:before="40" w:after="40"/>
            </w:pPr>
            <w:r>
              <w:rPr>
                <w:color w:val="2b2b2b"/>
                <w:sz w:val="20"/>
              </w:rPr>
              <w:t>Mailing with return receipt requested and delivery restricted to addressee.</w:t>
            </w:r>
          </w:p>
        </w:tc>
        <w:tc>
          <w:tcPr>
            <w:tcW w:w="3600" w:type="dxa"/>
          </w:tcPr>
          <w:p>
            <w:pPr>
              <w:spacing w:before="40" w:after="40"/>
            </w:pPr>
            <w:r>
              <w:rPr>
                <w:color w:val="2b2b2b"/>
                <w:sz w:val="20"/>
              </w:rPr>
              <w:t>12 O.S. §2004(C)(2)</w:t>
            </w:r>
          </w:p>
        </w:tc>
      </w:tr>
      <w:tr>
        <w:tc>
          <w:tcPr>
            <w:tcW w:w="2400" w:type="dxa"/>
            <w:shd w:val="clear" w:fill="f5f5f5"/>
          </w:tcPr>
          <w:p>
            <w:pPr>
              <w:spacing w:before="40" w:after="40"/>
            </w:pPr>
            <w:r>
              <w:rPr>
                <w:color w:val="2b2b2b"/>
                <w:sz w:val="20"/>
              </w:rPr>
              <w:t>Service by Publication</w:t>
            </w:r>
          </w:p>
        </w:tc>
        <w:tc>
          <w:tcPr>
            <w:tcW w:w="3600" w:type="dxa"/>
            <w:shd w:val="clear" w:fill="f5f5f5"/>
          </w:tcPr>
          <w:p>
            <w:pPr>
              <w:spacing w:before="40" w:after="40"/>
            </w:pPr>
            <w:r>
              <w:rPr>
                <w:color w:val="2b2b2b"/>
                <w:sz w:val="20"/>
              </w:rPr>
              <w:t>Newspaper notice, one day per week for 3 weeks. Only after affidavit of due diligence.</w:t>
            </w:r>
          </w:p>
        </w:tc>
        <w:tc>
          <w:tcPr>
            <w:tcW w:w="3600" w:type="dxa"/>
            <w:shd w:val="clear" w:fill="f5f5f5"/>
          </w:tcPr>
          <w:p>
            <w:pPr>
              <w:spacing w:before="40" w:after="40"/>
            </w:pPr>
            <w:r>
              <w:rPr>
                <w:color w:val="2b2b2b"/>
                <w:sz w:val="20"/>
              </w:rPr>
              <w:t>12 O.S. §2004(C)(3)</w:t>
            </w:r>
          </w:p>
        </w:tc>
      </w:tr>
      <w:tr>
        <w:tc>
          <w:tcPr>
            <w:tcW w:w="2400" w:type="dxa"/>
          </w:tcPr>
          <w:p>
            <w:pPr>
              <w:spacing w:before="40" w:after="40"/>
            </w:pPr>
            <w:r>
              <w:rPr>
                <w:color w:val="2b2b2b"/>
                <w:sz w:val="20"/>
              </w:rPr>
              <w:t>Court-Ordered Methods</w:t>
            </w:r>
          </w:p>
        </w:tc>
        <w:tc>
          <w:tcPr>
            <w:tcW w:w="3600" w:type="dxa"/>
          </w:tcPr>
          <w:p>
            <w:pPr>
              <w:spacing w:before="40" w:after="40"/>
            </w:pPr>
            <w:r>
              <w:rPr>
                <w:color w:val="2b2b2b"/>
                <w:sz w:val="20"/>
              </w:rPr>
              <w:t>Alternative methods approved by the court when standard methods fail.</w:t>
            </w:r>
          </w:p>
        </w:tc>
        <w:tc>
          <w:tcPr>
            <w:tcW w:w="3600" w:type="dxa"/>
          </w:tcPr>
          <w:p>
            <w:pPr>
              <w:spacing w:before="40" w:after="40"/>
            </w:pPr>
            <w:r>
              <w:rPr>
                <w:color w:val="2b2b2b"/>
                <w:sz w:val="20"/>
              </w:rPr>
              <w:t>12 O.S. §2004(C)(6)</w:t>
            </w:r>
          </w:p>
        </w:tc>
      </w:tr>
      <w:tr>
        <w:tc>
          <w:tcPr>
            <w:tcW w:w="2400" w:type="dxa"/>
            <w:shd w:val="clear" w:fill="f5f5f5"/>
          </w:tcPr>
          <w:p>
            <w:pPr>
              <w:spacing w:before="40" w:after="40"/>
            </w:pPr>
            <w:r>
              <w:rPr>
                <w:color w:val="2b2b2b"/>
                <w:sz w:val="20"/>
              </w:rPr>
              <w:t>Commercial Courier</w:t>
            </w:r>
          </w:p>
        </w:tc>
        <w:tc>
          <w:tcPr>
            <w:tcW w:w="3600" w:type="dxa"/>
            <w:shd w:val="clear" w:fill="f5f5f5"/>
          </w:tcPr>
          <w:p>
            <w:pPr>
              <w:spacing w:before="40" w:after="40"/>
            </w:pPr>
            <w:r>
              <w:rPr>
                <w:color w:val="2b2b2b"/>
                <w:sz w:val="20"/>
              </w:rPr>
              <w:t>Overnight delivery or other reliable service with signed receipt.</w:t>
            </w:r>
          </w:p>
        </w:tc>
        <w:tc>
          <w:tcPr>
            <w:tcW w:w="3600" w:type="dxa"/>
            <w:shd w:val="clear" w:fill="f5f5f5"/>
          </w:tcPr>
          <w:p>
            <w:pPr>
              <w:spacing w:before="40" w:after="40"/>
            </w:pPr>
            <w:r>
              <w:rPr>
                <w:color w:val="2b2b2b"/>
                <w:sz w:val="20"/>
              </w:rPr>
              <w:t>12 O.S. §2004.3</w:t>
            </w:r>
          </w:p>
        </w:tc>
      </w:tr>
      <w:tr>
        <w:tc>
          <w:tcPr>
            <w:tcW w:w="2400" w:type="dxa"/>
          </w:tcPr>
          <w:p>
            <w:pPr>
              <w:spacing w:before="40" w:after="40"/>
            </w:pPr>
            <w:r>
              <w:rPr>
                <w:color w:val="2b2b2b"/>
                <w:sz w:val="20"/>
              </w:rPr>
              <w:t>Acknowledgment</w:t>
            </w:r>
          </w:p>
        </w:tc>
        <w:tc>
          <w:tcPr>
            <w:tcW w:w="3600" w:type="dxa"/>
          </w:tcPr>
          <w:p>
            <w:pPr>
              <w:spacing w:before="40" w:after="40"/>
            </w:pPr>
            <w:r>
              <w:rPr>
                <w:color w:val="2b2b2b"/>
                <w:sz w:val="20"/>
              </w:rPr>
              <w:t>Debtor signs acknowledgment on the back of the summons.</w:t>
            </w:r>
          </w:p>
        </w:tc>
        <w:tc>
          <w:tcPr>
            <w:tcW w:w="3600" w:type="dxa"/>
          </w:tcPr>
          <w:p>
            <w:pPr>
              <w:spacing w:before="40" w:after="40"/>
            </w:pPr>
            <w:r>
              <w:rPr>
                <w:color w:val="2b2b2b"/>
                <w:sz w:val="20"/>
              </w:rPr>
              <w:t>12 O.S. §2004(C)(5)</w:t>
            </w:r>
          </w:p>
        </w:tc>
      </w:tr>
    </w:tbl>
    <w:p>
      <w:pPr>
        <w:pStyle w:val="Heading2"/>
      </w:pPr>
      <w:r>
        <w:t>Prohibited Service Methods</w:t>
      </w:r>
    </w:p>
    <w:tbl>
      <w:tblPr>
        <w:tblW w:w="5000" w:type="pct"/>
        <w:tblBorders>
          <w:top w:val="single" w:color="1a2744" w:sz="12"/>
          <w:left w:val="nil"/>
          <w:bottom w:val="single" w:color="1a2744" w:sz="12"/>
          <w:right w:val="nil"/>
          <w:insideH w:val="single" w:color="cccccc" w:sz="4"/>
          <w:insideV w:val="nil"/>
        </w:tblBorders>
      </w:tblPr>
      <w:tblGrid>
        <w:gridCol w:w="3600"/>
        <w:gridCol w:w="6000"/>
      </w:tblGrid>
      <w:tr>
        <w:trPr>
          <w:tblHeader/>
        </w:trPr>
        <w:tc>
          <w:tcPr>
            <w:tcW w:w="3600" w:type="dxa"/>
            <w:shd w:val="clear" w:fill="1a2744"/>
          </w:tcPr>
          <w:p>
            <w:pPr>
              <w:spacing w:before="60" w:after="60"/>
              <w:jc w:val="left"/>
            </w:pPr>
            <w:r>
              <w:rPr>
                <w:b/>
                <w:color w:val="FFFFFF"/>
                <w:sz w:val="20"/>
              </w:rPr>
              <w:t>Prohibited Method</w:t>
            </w:r>
          </w:p>
        </w:tc>
        <w:tc>
          <w:tcPr>
            <w:tcW w:w="6000" w:type="dxa"/>
            <w:shd w:val="clear" w:fill="1a2744"/>
          </w:tcPr>
          <w:p>
            <w:pPr>
              <w:spacing w:before="60" w:after="60"/>
              <w:jc w:val="left"/>
            </w:pPr>
            <w:r>
              <w:rPr>
                <w:b/>
                <w:color w:val="FFFFFF"/>
                <w:sz w:val="20"/>
              </w:rPr>
              <w:t>Why It Violates Law</w:t>
            </w:r>
          </w:p>
        </w:tc>
      </w:tr>
      <w:tr>
        <w:tc>
          <w:tcPr>
            <w:tcW w:w="3600" w:type="dxa"/>
          </w:tcPr>
          <w:p>
            <w:pPr>
              <w:spacing w:before="40" w:after="40"/>
            </w:pPr>
            <w:r>
              <w:rPr>
                <w:color w:val="2b2b2b"/>
                <w:sz w:val="20"/>
              </w:rPr>
              <w:t>Service by Postcard</w:t>
            </w:r>
          </w:p>
        </w:tc>
        <w:tc>
          <w:tcPr>
            <w:tcW w:w="6000" w:type="dxa"/>
          </w:tcPr>
          <w:p>
            <w:pPr>
              <w:spacing w:before="40" w:after="40"/>
            </w:pPr>
            <w:r>
              <w:rPr>
                <w:color w:val="2b2b2b"/>
                <w:sz w:val="20"/>
              </w:rPr>
              <w:t>Violates FDCPA §1692f(7). Also violates consumer privacy.</w:t>
            </w:r>
          </w:p>
        </w:tc>
      </w:tr>
      <w:tr>
        <w:tc>
          <w:tcPr>
            <w:tcW w:w="3600" w:type="dxa"/>
            <w:shd w:val="clear" w:fill="f5f5f5"/>
          </w:tcPr>
          <w:p>
            <w:pPr>
              <w:spacing w:before="40" w:after="40"/>
            </w:pPr>
            <w:r>
              <w:rPr>
                <w:color w:val="2b2b2b"/>
                <w:sz w:val="20"/>
              </w:rPr>
              <w:t>Leaving Documents with Minor</w:t>
            </w:r>
          </w:p>
        </w:tc>
        <w:tc>
          <w:tcPr>
            <w:tcW w:w="6000" w:type="dxa"/>
            <w:shd w:val="clear" w:fill="f5f5f5"/>
          </w:tcPr>
          <w:p>
            <w:pPr>
              <w:spacing w:before="40" w:after="40"/>
            </w:pPr>
            <w:r>
              <w:rPr>
                <w:color w:val="2b2b2b"/>
                <w:sz w:val="20"/>
              </w:rPr>
              <w:t>Oklahoma requires recipient to be age 15+ residing at the dwelling.</w:t>
            </w:r>
          </w:p>
        </w:tc>
      </w:tr>
      <w:tr>
        <w:tc>
          <w:tcPr>
            <w:tcW w:w="3600" w:type="dxa"/>
          </w:tcPr>
          <w:p>
            <w:pPr>
              <w:spacing w:before="40" w:after="40"/>
            </w:pPr>
            <w:r>
              <w:rPr>
                <w:color w:val="2b2b2b"/>
                <w:sz w:val="20"/>
              </w:rPr>
              <w:t>Service by Prisoner</w:t>
            </w:r>
          </w:p>
        </w:tc>
        <w:tc>
          <w:tcPr>
            <w:tcW w:w="6000" w:type="dxa"/>
          </w:tcPr>
          <w:p>
            <w:pPr>
              <w:spacing w:before="40" w:after="40"/>
            </w:pPr>
            <w:r>
              <w:rPr>
                <w:color w:val="2b2b2b"/>
                <w:sz w:val="20"/>
              </w:rPr>
              <w:t>12 O.S. §2004(C)(7) bars prisoners and probationers from serving process.</w:t>
            </w:r>
          </w:p>
        </w:tc>
      </w:tr>
      <w:tr>
        <w:tc>
          <w:tcPr>
            <w:tcW w:w="3600" w:type="dxa"/>
            <w:shd w:val="clear" w:fill="f5f5f5"/>
          </w:tcPr>
          <w:p>
            <w:pPr>
              <w:spacing w:before="40" w:after="40"/>
            </w:pPr>
            <w:r>
              <w:rPr>
                <w:color w:val="2b2b2b"/>
                <w:sz w:val="20"/>
              </w:rPr>
              <w:t>Unlicensed Service</w:t>
            </w:r>
          </w:p>
        </w:tc>
        <w:tc>
          <w:tcPr>
            <w:tcW w:w="6000" w:type="dxa"/>
            <w:shd w:val="clear" w:fill="f5f5f5"/>
          </w:tcPr>
          <w:p>
            <w:pPr>
              <w:spacing w:before="40" w:after="40"/>
            </w:pPr>
            <w:r>
              <w:rPr>
                <w:color w:val="2b2b2b"/>
                <w:sz w:val="20"/>
              </w:rPr>
              <w:t>Serving process without an Oklahoma license is a misdemeanor per 12 O.S. §158.1(I).</w:t>
            </w:r>
          </w:p>
        </w:tc>
      </w:tr>
      <w:tr>
        <w:tc>
          <w:tcPr>
            <w:tcW w:w="3600" w:type="dxa"/>
          </w:tcPr>
          <w:p>
            <w:pPr>
              <w:spacing w:before="40" w:after="40"/>
            </w:pPr>
            <w:r>
              <w:rPr>
                <w:color w:val="2b2b2b"/>
                <w:sz w:val="20"/>
              </w:rPr>
              <w:t>Trespass to Serve</w:t>
            </w:r>
          </w:p>
        </w:tc>
        <w:tc>
          <w:tcPr>
            <w:tcW w:w="6000" w:type="dxa"/>
          </w:tcPr>
          <w:p>
            <w:pPr>
              <w:spacing w:before="40" w:after="40"/>
            </w:pPr>
            <w:r>
              <w:rPr>
                <w:color w:val="2b2b2b"/>
                <w:sz w:val="20"/>
              </w:rPr>
              <w:t>Cannot enter private property without consent. Violates property rights.</w:t>
            </w:r>
          </w:p>
        </w:tc>
      </w:tr>
      <w:tr>
        <w:tc>
          <w:tcPr>
            <w:tcW w:w="3600" w:type="dxa"/>
            <w:shd w:val="clear" w:fill="f5f5f5"/>
          </w:tcPr>
          <w:p>
            <w:pPr>
              <w:spacing w:before="40" w:after="40"/>
            </w:pPr>
            <w:r>
              <w:rPr>
                <w:color w:val="2b2b2b"/>
                <w:sz w:val="20"/>
              </w:rPr>
              <w:t>Service Before 8 AM or After 9 PM</w:t>
            </w:r>
          </w:p>
        </w:tc>
        <w:tc>
          <w:tcPr>
            <w:tcW w:w="6000" w:type="dxa"/>
            <w:shd w:val="clear" w:fill="f5f5f5"/>
          </w:tcPr>
          <w:p>
            <w:pPr>
              <w:spacing w:before="40" w:after="40"/>
            </w:pPr>
            <w:r>
              <w:rPr>
                <w:color w:val="2b2b2b"/>
                <w:sz w:val="20"/>
              </w:rPr>
              <w:t>FDCPA §1692c(a)(1) restricts communication times.</w:t>
            </w:r>
          </w:p>
        </w:tc>
      </w:tr>
    </w:tbl>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Validation Notice Requirements</w:t>
      </w:r>
      <w:bookmarkStart w:name="_Toc003" w:id="3"/>
      <w:bookmarkEnd w:id="3"/>
    </w:p>
    <w:p>
      <w:pPr>
        <w:spacing w:after="160"/>
      </w:pPr>
      <w:r>
        <w:t>Federal law requires every debt collector to send a validation notice. This must happen within 5 days of the first contact with the consumer. The notice gives the consumer 30 days to dispute the debt.</w:t>
      </w:r>
    </w:p>
    <w:p>
      <w:pPr>
        <w:pStyle w:val="Heading2"/>
      </w:pPr>
      <w:r>
        <w:t>Required Contents of the Validation Notice</w:t>
      </w:r>
    </w:p>
    <w:tbl>
      <w:tblPr>
        <w:tblW w:w="5000" w:type="pct"/>
        <w:tblBorders>
          <w:top w:val="single" w:color="1a2744" w:sz="12"/>
          <w:left w:val="nil"/>
          <w:bottom w:val="single" w:color="1a2744" w:sz="12"/>
          <w:right w:val="nil"/>
          <w:insideH w:val="single" w:color="cccccc" w:sz="4"/>
          <w:insideV w:val="nil"/>
        </w:tblBorders>
      </w:tblPr>
      <w:tblGrid>
        <w:gridCol w:w="600"/>
        <w:gridCol w:w="3600"/>
        <w:gridCol w:w="5400"/>
      </w:tblGrid>
      <w:tr>
        <w:trPr>
          <w:tblHeader/>
        </w:trPr>
        <w:tc>
          <w:tcPr>
            <w:tcW w:w="600" w:type="dxa"/>
            <w:shd w:val="clear" w:fill="1a2744"/>
          </w:tcPr>
          <w:p>
            <w:pPr>
              <w:spacing w:before="60" w:after="60"/>
              <w:jc w:val="left"/>
            </w:pPr>
            <w:r>
              <w:rPr>
                <w:b/>
                <w:color w:val="FFFFFF"/>
                <w:sz w:val="20"/>
              </w:rPr>
              <w:t>#</w:t>
            </w:r>
          </w:p>
        </w:tc>
        <w:tc>
          <w:tcPr>
            <w:tcW w:w="3600" w:type="dxa"/>
            <w:shd w:val="clear" w:fill="1a2744"/>
          </w:tcPr>
          <w:p>
            <w:pPr>
              <w:spacing w:before="60" w:after="60"/>
              <w:jc w:val="left"/>
            </w:pPr>
            <w:r>
              <w:rPr>
                <w:b/>
                <w:color w:val="FFFFFF"/>
                <w:sz w:val="20"/>
              </w:rPr>
              <w:t>Required Item</w:t>
            </w:r>
          </w:p>
        </w:tc>
        <w:tc>
          <w:tcPr>
            <w:tcW w:w="5400" w:type="dxa"/>
            <w:shd w:val="clear" w:fill="1a2744"/>
          </w:tcPr>
          <w:p>
            <w:pPr>
              <w:spacing w:before="60" w:after="60"/>
              <w:jc w:val="left"/>
            </w:pPr>
            <w:r>
              <w:rPr>
                <w:b/>
                <w:color w:val="FFFFFF"/>
                <w:sz w:val="20"/>
              </w:rPr>
              <w:t>Explanation</w:t>
            </w:r>
          </w:p>
        </w:tc>
      </w:tr>
      <w:tr>
        <w:tc>
          <w:tcPr>
            <w:tcW w:w="600" w:type="dxa"/>
          </w:tcPr>
          <w:p>
            <w:pPr>
              <w:spacing w:before="40" w:after="40"/>
            </w:pPr>
            <w:r>
              <w:rPr>
                <w:color w:val="2b2b2b"/>
                <w:sz w:val="20"/>
              </w:rPr>
              <w:t>1</w:t>
            </w:r>
          </w:p>
        </w:tc>
        <w:tc>
          <w:tcPr>
            <w:tcW w:w="3600" w:type="dxa"/>
          </w:tcPr>
          <w:p>
            <w:pPr>
              <w:spacing w:before="40" w:after="40"/>
            </w:pPr>
            <w:r>
              <w:rPr>
                <w:color w:val="2b2b2b"/>
                <w:sz w:val="20"/>
              </w:rPr>
              <w:t>Amount of the Debt</w:t>
            </w:r>
          </w:p>
        </w:tc>
        <w:tc>
          <w:tcPr>
            <w:tcW w:w="5400" w:type="dxa"/>
          </w:tcPr>
          <w:p>
            <w:pPr>
              <w:spacing w:before="40" w:after="40"/>
            </w:pPr>
            <w:r>
              <w:rPr>
                <w:color w:val="2b2b2b"/>
                <w:sz w:val="20"/>
              </w:rPr>
              <w:t>State the exact amount owed as of the notice date.</w:t>
            </w:r>
          </w:p>
        </w:tc>
      </w:tr>
      <w:tr>
        <w:tc>
          <w:tcPr>
            <w:tcW w:w="600" w:type="dxa"/>
            <w:shd w:val="clear" w:fill="f5f5f5"/>
          </w:tcPr>
          <w:p>
            <w:pPr>
              <w:spacing w:before="40" w:after="40"/>
            </w:pPr>
            <w:r>
              <w:rPr>
                <w:color w:val="2b2b2b"/>
                <w:sz w:val="20"/>
              </w:rPr>
              <w:t>2</w:t>
            </w:r>
          </w:p>
        </w:tc>
        <w:tc>
          <w:tcPr>
            <w:tcW w:w="3600" w:type="dxa"/>
            <w:shd w:val="clear" w:fill="f5f5f5"/>
          </w:tcPr>
          <w:p>
            <w:pPr>
              <w:spacing w:before="40" w:after="40"/>
            </w:pPr>
            <w:r>
              <w:rPr>
                <w:color w:val="2b2b2b"/>
                <w:sz w:val="20"/>
              </w:rPr>
              <w:t>Name of the Creditor</w:t>
            </w:r>
          </w:p>
        </w:tc>
        <w:tc>
          <w:tcPr>
            <w:tcW w:w="5400" w:type="dxa"/>
            <w:shd w:val="clear" w:fill="f5f5f5"/>
          </w:tcPr>
          <w:p>
            <w:pPr>
              <w:spacing w:before="40" w:after="40"/>
            </w:pPr>
            <w:r>
              <w:rPr>
                <w:color w:val="2b2b2b"/>
                <w:sz w:val="20"/>
              </w:rPr>
              <w:t>Identify the original creditor or current creditor.</w:t>
            </w:r>
          </w:p>
        </w:tc>
      </w:tr>
      <w:tr>
        <w:tc>
          <w:tcPr>
            <w:tcW w:w="600" w:type="dxa"/>
          </w:tcPr>
          <w:p>
            <w:pPr>
              <w:spacing w:before="40" w:after="40"/>
            </w:pPr>
            <w:r>
              <w:rPr>
                <w:color w:val="2b2b2b"/>
                <w:sz w:val="20"/>
              </w:rPr>
              <w:t>3</w:t>
            </w:r>
          </w:p>
        </w:tc>
        <w:tc>
          <w:tcPr>
            <w:tcW w:w="3600" w:type="dxa"/>
          </w:tcPr>
          <w:p>
            <w:pPr>
              <w:spacing w:before="40" w:after="40"/>
            </w:pPr>
            <w:r>
              <w:rPr>
                <w:color w:val="2b2b2b"/>
                <w:sz w:val="20"/>
              </w:rPr>
              <w:t>30-Day Dispute Right</w:t>
            </w:r>
          </w:p>
        </w:tc>
        <w:tc>
          <w:tcPr>
            <w:tcW w:w="5400" w:type="dxa"/>
          </w:tcPr>
          <w:p>
            <w:pPr>
              <w:spacing w:before="40" w:after="40"/>
            </w:pPr>
            <w:r>
              <w:rPr>
                <w:color w:val="2b2b2b"/>
                <w:sz w:val="20"/>
              </w:rPr>
              <w:t>Tell the consumer they have 30 days to dispute the debt in writing.</w:t>
            </w:r>
          </w:p>
        </w:tc>
      </w:tr>
      <w:tr>
        <w:tc>
          <w:tcPr>
            <w:tcW w:w="600" w:type="dxa"/>
            <w:shd w:val="clear" w:fill="f5f5f5"/>
          </w:tcPr>
          <w:p>
            <w:pPr>
              <w:spacing w:before="40" w:after="40"/>
            </w:pPr>
            <w:r>
              <w:rPr>
                <w:color w:val="2b2b2b"/>
                <w:sz w:val="20"/>
              </w:rPr>
              <w:t>4</w:t>
            </w:r>
          </w:p>
        </w:tc>
        <w:tc>
          <w:tcPr>
            <w:tcW w:w="3600" w:type="dxa"/>
            <w:shd w:val="clear" w:fill="f5f5f5"/>
          </w:tcPr>
          <w:p>
            <w:pPr>
              <w:spacing w:before="40" w:after="40"/>
            </w:pPr>
            <w:r>
              <w:rPr>
                <w:color w:val="2b2b2b"/>
                <w:sz w:val="20"/>
              </w:rPr>
              <w:t>Verification Promise</w:t>
            </w:r>
          </w:p>
        </w:tc>
        <w:tc>
          <w:tcPr>
            <w:tcW w:w="5400" w:type="dxa"/>
            <w:shd w:val="clear" w:fill="f5f5f5"/>
          </w:tcPr>
          <w:p>
            <w:pPr>
              <w:spacing w:before="40" w:after="40"/>
            </w:pPr>
            <w:r>
              <w:rPr>
                <w:color w:val="2b2b2b"/>
                <w:sz w:val="20"/>
              </w:rPr>
              <w:t>State that you will get verification if they dispute in writing.</w:t>
            </w:r>
          </w:p>
        </w:tc>
      </w:tr>
      <w:tr>
        <w:tc>
          <w:tcPr>
            <w:tcW w:w="600" w:type="dxa"/>
          </w:tcPr>
          <w:p>
            <w:pPr>
              <w:spacing w:before="40" w:after="40"/>
            </w:pPr>
            <w:r>
              <w:rPr>
                <w:color w:val="2b2b2b"/>
                <w:sz w:val="20"/>
              </w:rPr>
              <w:t>5</w:t>
            </w:r>
          </w:p>
        </w:tc>
        <w:tc>
          <w:tcPr>
            <w:tcW w:w="3600" w:type="dxa"/>
          </w:tcPr>
          <w:p>
            <w:pPr>
              <w:spacing w:before="40" w:after="40"/>
            </w:pPr>
            <w:r>
              <w:rPr>
                <w:color w:val="2b2b2b"/>
                <w:sz w:val="20"/>
              </w:rPr>
              <w:t>Original Creditor Info</w:t>
            </w:r>
          </w:p>
        </w:tc>
        <w:tc>
          <w:tcPr>
            <w:tcW w:w="5400" w:type="dxa"/>
          </w:tcPr>
          <w:p>
            <w:pPr>
              <w:spacing w:before="40" w:after="40"/>
            </w:pPr>
            <w:r>
              <w:rPr>
                <w:color w:val="2b2b2b"/>
                <w:sz w:val="20"/>
              </w:rPr>
              <w:t>If requested in writing within 30 days, provide the name and address of the original creditor.</w:t>
            </w:r>
          </w:p>
        </w:tc>
      </w:tr>
      <w:tr>
        <w:tc>
          <w:tcPr>
            <w:tcW w:w="600" w:type="dxa"/>
            <w:shd w:val="clear" w:fill="f5f5f5"/>
          </w:tcPr>
          <w:p>
            <w:pPr>
              <w:spacing w:before="40" w:after="40"/>
            </w:pPr>
            <w:r>
              <w:rPr>
                <w:color w:val="2b2b2b"/>
                <w:sz w:val="20"/>
              </w:rPr>
              <w:t>6</w:t>
            </w:r>
          </w:p>
        </w:tc>
        <w:tc>
          <w:tcPr>
            <w:tcW w:w="3600" w:type="dxa"/>
            <w:shd w:val="clear" w:fill="f5f5f5"/>
          </w:tcPr>
          <w:p>
            <w:pPr>
              <w:spacing w:before="40" w:after="40"/>
            </w:pPr>
            <w:r>
              <w:rPr>
                <w:color w:val="2b2b2b"/>
                <w:sz w:val="20"/>
              </w:rPr>
              <w:t>Validation Statement</w:t>
            </w:r>
          </w:p>
        </w:tc>
        <w:tc>
          <w:tcPr>
            <w:tcW w:w="5400" w:type="dxa"/>
            <w:shd w:val="clear" w:fill="f5f5f5"/>
          </w:tcPr>
          <w:p>
            <w:pPr>
              <w:spacing w:before="40" w:after="40"/>
            </w:pPr>
            <w:r>
              <w:rPr>
                <w:color w:val="2b2b2b"/>
                <w:sz w:val="20"/>
              </w:rPr>
              <w:t>State that until the consumer validates, the debt is assumed valid by the collector.</w:t>
            </w:r>
          </w:p>
        </w:tc>
      </w:tr>
    </w:tbl>
    <w:p>
      <w:pPr>
        <w:pStyle w:val="Heading2"/>
      </w:pPr>
      <w:r>
        <w:t>What Happens When the Consumer Disputes</w:t>
      </w:r>
    </w:p>
    <w:p>
      <w:pPr>
        <w:spacing w:after="160"/>
      </w:pPr>
      <w:r>
        <w:t>If the consumer sends a written dispute within 30 days, the collector must:</w:t>
      </w:r>
    </w:p>
    <w:p>
      <w:pPr>
        <w:numPr>
          <w:ilvl w:val="0"/>
          <w:numId w:val="1"/>
        </w:numPr>
        <w:spacing w:after="80"/>
      </w:pPr>
      <w:r>
        <w:t>Stop all collection efforts until verification is provided.</w:t>
      </w:r>
    </w:p>
    <w:p>
      <w:pPr>
        <w:numPr>
          <w:ilvl w:val="0"/>
          <w:numId w:val="1"/>
        </w:numPr>
        <w:spacing w:after="80"/>
      </w:pPr>
      <w:r>
        <w:t>Obtain verification of the debt or a copy of any judgment.</w:t>
      </w:r>
    </w:p>
    <w:p>
      <w:pPr>
        <w:numPr>
          <w:ilvl w:val="0"/>
          <w:numId w:val="1"/>
        </w:numPr>
        <w:spacing w:after="80"/>
      </w:pPr>
      <w:r>
        <w:t>Mail the verification or judgment copy to the consumer.</w:t>
      </w:r>
    </w:p>
    <w:p>
      <w:pPr>
        <w:numPr>
          <w:ilvl w:val="0"/>
          <w:numId w:val="1"/>
        </w:numPr>
        <w:spacing w:after="80"/>
      </w:pPr>
      <w:r>
        <w:t>If requested, provide the name and address of the original creditor.</w:t>
      </w:r>
    </w:p>
    <w:p>
      <w:pPr>
        <w:spacing w:before="160"/>
      </w:pPr>
      <w:r>
        <w:rPr>
          <w:b/>
          <w:color w:val="1a2744"/>
        </w:rPr>
        <w:t>Key Rule: </w:t>
      </w:r>
      <w:r>
        <w:t>Collection efforts must cease during the validation period. This includes filing lawsuits or serving court papers. Any collection action during this time may violate the FDCPA.</w:t>
      </w:r>
    </w:p>
    <w:p>
      <w:pPr>
        <w:pStyle w:val="Heading2"/>
      </w:pPr>
      <w:r>
        <w:t>CFPB Model Form (Safe Harbor)</w:t>
      </w:r>
    </w:p>
    <w:p>
      <w:pPr>
        <w:spacing w:after="160"/>
      </w:pPr>
      <w:r>
        <w:t>The CFPB provides a model validation notice. Using this form gives you "safe harbor" protection. This means you are presumed compliant with the validation notice requirements. The model form includes itemization of the debt, creditor information, and all required disclosures.</w:t>
      </w:r>
    </w:p>
    <w:p>
      <w:pPr>
        <w:spacing w:after="160"/>
      </w:pPr>
      <w:r>
        <w:t>Verify the current model form at consumerfinance.gov. Forms may be updated.</w:t>
      </w:r>
    </w:p>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Before You Serve Checklist</w:t>
      </w:r>
      <w:bookmarkStart w:name="_Toc004" w:id="4"/>
      <w:bookmarkEnd w:id="4"/>
    </w:p>
    <w:p>
      <w:pPr>
        <w:spacing w:after="160"/>
      </w:pPr>
      <w:r>
        <w:t>Use this checklist before serving any collection document. Every item must be confirmed. Skipping steps may lead to FDCPA violations, court sanctions, or civil liability.</w:t>
      </w:r>
    </w:p>
    <w:p>
      <w:pPr>
        <w:pStyle w:val="Heading2"/>
      </w:pPr>
      <w:r>
        <w:t>Pre-Service Verification Steps</w:t>
      </w:r>
    </w:p>
    <w:p>
      <w:pPr>
        <w:numPr>
          <w:ilvl w:val="0"/>
          <w:numId w:val="1"/>
        </w:numPr>
        <w:spacing w:after="80"/>
      </w:pPr>
      <w:r>
        <w:t>Account ownership verified — Confirm the debt belongs to the person being served.</w:t>
      </w:r>
    </w:p>
    <w:p>
      <w:pPr>
        <w:numPr>
          <w:ilvl w:val="0"/>
          <w:numId w:val="1"/>
        </w:numPr>
        <w:spacing w:after="80"/>
      </w:pPr>
      <w:r>
        <w:t>Debt validated — The 30-day validation period has ended or the consumer did not dispute.</w:t>
      </w:r>
    </w:p>
    <w:p>
      <w:pPr>
        <w:numPr>
          <w:ilvl w:val="0"/>
          <w:numId w:val="1"/>
        </w:numPr>
        <w:spacing w:after="80"/>
      </w:pPr>
      <w:r>
        <w:t>Consumer notified — Initial validation notice was sent within 5 days of first contact.</w:t>
      </w:r>
    </w:p>
    <w:p>
      <w:pPr>
        <w:numPr>
          <w:ilvl w:val="0"/>
          <w:numId w:val="1"/>
        </w:numPr>
        <w:spacing w:after="80"/>
      </w:pPr>
      <w:r>
        <w:t>Attorney check — Confirm the consumer is not represented by an attorney. If they are, serve the attorney only.</w:t>
      </w:r>
    </w:p>
    <w:p>
      <w:pPr>
        <w:numPr>
          <w:ilvl w:val="0"/>
          <w:numId w:val="1"/>
        </w:numPr>
        <w:spacing w:after="80"/>
      </w:pPr>
      <w:r>
        <w:t>Licensing verified — The process server holds a current Oklahoma license (12 O.S. §158.1).</w:t>
      </w:r>
    </w:p>
    <w:p>
      <w:pPr>
        <w:numPr>
          <w:ilvl w:val="0"/>
          <w:numId w:val="1"/>
        </w:numPr>
        <w:spacing w:after="80"/>
      </w:pPr>
      <w:r>
        <w:t>Accurate documents — All amounts, dates, and creditor names are correct on the summons and petition.</w:t>
      </w:r>
    </w:p>
    <w:p>
      <w:pPr>
        <w:numPr>
          <w:ilvl w:val="0"/>
          <w:numId w:val="1"/>
        </w:numPr>
        <w:spacing w:after="80"/>
      </w:pPr>
      <w:r>
        <w:t>No cease letter — Confirm the consumer has not sent a written cease communication request.</w:t>
      </w:r>
    </w:p>
    <w:p>
      <w:pPr>
        <w:numPr>
          <w:ilvl w:val="0"/>
          <w:numId w:val="1"/>
        </w:numPr>
        <w:spacing w:after="80"/>
      </w:pPr>
      <w:r>
        <w:t>Time check — Service will occur between 8:00 a.m. and 9:00 p.m. local time.</w:t>
      </w:r>
    </w:p>
    <w:p>
      <w:pPr>
        <w:numPr>
          <w:ilvl w:val="0"/>
          <w:numId w:val="1"/>
        </w:numPr>
        <w:spacing w:after="80"/>
      </w:pPr>
      <w:r>
        <w:t>Third-party plan — No disclosure of debt details to neighbors, family, or employers.</w:t>
      </w:r>
    </w:p>
    <w:p>
      <w:pPr>
        <w:numPr>
          <w:ilvl w:val="0"/>
          <w:numId w:val="1"/>
        </w:numPr>
        <w:spacing w:after="80"/>
      </w:pPr>
      <w:r>
        <w:t>Proof ready — Affidavit of service form is prepared for immediate completion.</w:t>
      </w:r>
    </w:p>
    <w:p>
      <w:pPr>
        <w:pStyle w:val="Heading2"/>
      </w:pPr>
      <w:r>
        <w:t>Document Accuracy Table</w:t>
      </w:r>
    </w:p>
    <w:tbl>
      <w:tblPr>
        <w:tblW w:w="5000" w:type="pct"/>
        <w:tblBorders>
          <w:top w:val="single" w:color="1a2744" w:sz="12"/>
          <w:left w:val="nil"/>
          <w:bottom w:val="single" w:color="1a2744" w:sz="12"/>
          <w:right w:val="nil"/>
          <w:insideH w:val="single" w:color="cccccc" w:sz="4"/>
          <w:insideV w:val="nil"/>
        </w:tblBorders>
      </w:tblPr>
      <w:tblGrid>
        <w:gridCol w:w="3600"/>
        <w:gridCol w:w="2400"/>
        <w:gridCol w:w="3600"/>
      </w:tblGrid>
      <w:tr>
        <w:trPr>
          <w:tblHeader/>
        </w:trPr>
        <w:tc>
          <w:tcPr>
            <w:tcW w:w="3600" w:type="dxa"/>
            <w:shd w:val="clear" w:fill="1a2744"/>
          </w:tcPr>
          <w:p>
            <w:pPr>
              <w:spacing w:before="60" w:after="60"/>
              <w:jc w:val="left"/>
            </w:pPr>
            <w:r>
              <w:rPr>
                <w:b/>
                <w:color w:val="FFFFFF"/>
                <w:sz w:val="20"/>
              </w:rPr>
              <w:t>Document Element</w:t>
            </w:r>
          </w:p>
        </w:tc>
        <w:tc>
          <w:tcPr>
            <w:tcW w:w="2400" w:type="dxa"/>
            <w:shd w:val="clear" w:fill="1a2744"/>
          </w:tcPr>
          <w:p>
            <w:pPr>
              <w:spacing w:before="60" w:after="60"/>
              <w:jc w:val="left"/>
            </w:pPr>
            <w:r>
              <w:rPr>
                <w:b/>
                <w:color w:val="FFFFFF"/>
                <w:sz w:val="20"/>
              </w:rPr>
              <w:t>Must Verify</w:t>
            </w:r>
          </w:p>
        </w:tc>
        <w:tc>
          <w:tcPr>
            <w:tcW w:w="3600" w:type="dxa"/>
            <w:shd w:val="clear" w:fill="1a2744"/>
          </w:tcPr>
          <w:p>
            <w:pPr>
              <w:spacing w:before="60" w:after="60"/>
              <w:jc w:val="left"/>
            </w:pPr>
            <w:r>
              <w:rPr>
                <w:b/>
                <w:color w:val="FFFFFF"/>
                <w:sz w:val="20"/>
              </w:rPr>
              <w:t>Common Error</w:t>
            </w:r>
          </w:p>
        </w:tc>
      </w:tr>
      <w:tr>
        <w:tc>
          <w:tcPr>
            <w:tcW w:w="3600" w:type="dxa"/>
          </w:tcPr>
          <w:p>
            <w:pPr>
              <w:spacing w:before="40" w:after="40"/>
            </w:pPr>
            <w:r>
              <w:rPr>
                <w:color w:val="2b2b2b"/>
                <w:sz w:val="20"/>
              </w:rPr>
              <w:t>Debt Amount</w:t>
            </w:r>
          </w:p>
        </w:tc>
        <w:tc>
          <w:tcPr>
            <w:tcW w:w="2400" w:type="dxa"/>
          </w:tcPr>
          <w:p>
            <w:pPr>
              <w:spacing w:before="40" w:after="40"/>
            </w:pPr>
            <w:r>
              <w:rPr>
                <w:color w:val="2b2b2b"/>
                <w:sz w:val="20"/>
              </w:rPr>
              <w:t>Match original contract + lawful interest/fees only</w:t>
            </w:r>
          </w:p>
        </w:tc>
        <w:tc>
          <w:tcPr>
            <w:tcW w:w="3600" w:type="dxa"/>
          </w:tcPr>
          <w:p>
            <w:pPr>
              <w:spacing w:before="40" w:after="40"/>
            </w:pPr>
            <w:r>
              <w:rPr>
                <w:color w:val="2b2b2b"/>
                <w:sz w:val="20"/>
              </w:rPr>
              <w:t>Adding unauthorized fees</w:t>
            </w:r>
          </w:p>
        </w:tc>
      </w:tr>
      <w:tr>
        <w:tc>
          <w:tcPr>
            <w:tcW w:w="3600" w:type="dxa"/>
            <w:shd w:val="clear" w:fill="f5f5f5"/>
          </w:tcPr>
          <w:p>
            <w:pPr>
              <w:spacing w:before="40" w:after="40"/>
            </w:pPr>
            <w:r>
              <w:rPr>
                <w:color w:val="2b2b2b"/>
                <w:sz w:val="20"/>
              </w:rPr>
              <w:t>Creditor Name</w:t>
            </w:r>
          </w:p>
        </w:tc>
        <w:tc>
          <w:tcPr>
            <w:tcW w:w="2400" w:type="dxa"/>
            <w:shd w:val="clear" w:fill="f5f5f5"/>
          </w:tcPr>
          <w:p>
            <w:pPr>
              <w:spacing w:before="40" w:after="40"/>
            </w:pPr>
            <w:r>
              <w:rPr>
                <w:color w:val="2b2b2b"/>
                <w:sz w:val="20"/>
              </w:rPr>
              <w:t>Current creditor name is correct</w:t>
            </w:r>
          </w:p>
        </w:tc>
        <w:tc>
          <w:tcPr>
            <w:tcW w:w="3600" w:type="dxa"/>
            <w:shd w:val="clear" w:fill="f5f5f5"/>
          </w:tcPr>
          <w:p>
            <w:pPr>
              <w:spacing w:before="40" w:after="40"/>
            </w:pPr>
            <w:r>
              <w:rPr>
                <w:color w:val="2b2b2b"/>
                <w:sz w:val="20"/>
              </w:rPr>
              <w:t>Wrong creditor or missing original creditor</w:t>
            </w:r>
          </w:p>
        </w:tc>
      </w:tr>
      <w:tr>
        <w:tc>
          <w:tcPr>
            <w:tcW w:w="3600" w:type="dxa"/>
          </w:tcPr>
          <w:p>
            <w:pPr>
              <w:spacing w:before="40" w:after="40"/>
            </w:pPr>
            <w:r>
              <w:rPr>
                <w:color w:val="2b2b2b"/>
                <w:sz w:val="20"/>
              </w:rPr>
              <w:t>Consumer Name</w:t>
            </w:r>
          </w:p>
        </w:tc>
        <w:tc>
          <w:tcPr>
            <w:tcW w:w="2400" w:type="dxa"/>
          </w:tcPr>
          <w:p>
            <w:pPr>
              <w:spacing w:before="40" w:after="40"/>
            </w:pPr>
            <w:r>
              <w:rPr>
                <w:color w:val="2b2b2b"/>
                <w:sz w:val="20"/>
              </w:rPr>
              <w:t>Full legal name matches records</w:t>
            </w:r>
          </w:p>
        </w:tc>
        <w:tc>
          <w:tcPr>
            <w:tcW w:w="3600" w:type="dxa"/>
          </w:tcPr>
          <w:p>
            <w:pPr>
              <w:spacing w:before="40" w:after="40"/>
            </w:pPr>
            <w:r>
              <w:rPr>
                <w:color w:val="2b2b2b"/>
                <w:sz w:val="20"/>
              </w:rPr>
              <w:t>Nickname or misspelling</w:t>
            </w:r>
          </w:p>
        </w:tc>
      </w:tr>
      <w:tr>
        <w:tc>
          <w:tcPr>
            <w:tcW w:w="3600" w:type="dxa"/>
            <w:shd w:val="clear" w:fill="f5f5f5"/>
          </w:tcPr>
          <w:p>
            <w:pPr>
              <w:spacing w:before="40" w:after="40"/>
            </w:pPr>
            <w:r>
              <w:rPr>
                <w:color w:val="2b2b2b"/>
                <w:sz w:val="20"/>
              </w:rPr>
              <w:t>Court and Case Number</w:t>
            </w:r>
          </w:p>
        </w:tc>
        <w:tc>
          <w:tcPr>
            <w:tcW w:w="2400" w:type="dxa"/>
            <w:shd w:val="clear" w:fill="f5f5f5"/>
          </w:tcPr>
          <w:p>
            <w:pPr>
              <w:spacing w:before="40" w:after="40"/>
            </w:pPr>
            <w:r>
              <w:rPr>
                <w:color w:val="2b2b2b"/>
                <w:sz w:val="20"/>
              </w:rPr>
              <w:t>Accurate on all copies</w:t>
            </w:r>
          </w:p>
        </w:tc>
        <w:tc>
          <w:tcPr>
            <w:tcW w:w="3600" w:type="dxa"/>
            <w:shd w:val="clear" w:fill="f5f5f5"/>
          </w:tcPr>
          <w:p>
            <w:pPr>
              <w:spacing w:before="40" w:after="40"/>
            </w:pPr>
            <w:r>
              <w:rPr>
                <w:color w:val="2b2b2b"/>
                <w:sz w:val="20"/>
              </w:rPr>
              <w:t>Wrong case number</w:t>
            </w:r>
          </w:p>
        </w:tc>
      </w:tr>
      <w:tr>
        <w:tc>
          <w:tcPr>
            <w:tcW w:w="3600" w:type="dxa"/>
          </w:tcPr>
          <w:p>
            <w:pPr>
              <w:spacing w:before="40" w:after="40"/>
            </w:pPr>
            <w:r>
              <w:rPr>
                <w:color w:val="2b2b2b"/>
                <w:sz w:val="20"/>
              </w:rPr>
              <w:t>Service Address</w:t>
            </w:r>
          </w:p>
        </w:tc>
        <w:tc>
          <w:tcPr>
            <w:tcW w:w="2400" w:type="dxa"/>
          </w:tcPr>
          <w:p>
            <w:pPr>
              <w:spacing w:before="40" w:after="40"/>
            </w:pPr>
            <w:r>
              <w:rPr>
                <w:color w:val="2b2b2b"/>
                <w:sz w:val="20"/>
              </w:rPr>
              <w:t>Current and verified address</w:t>
            </w:r>
          </w:p>
        </w:tc>
        <w:tc>
          <w:tcPr>
            <w:tcW w:w="3600" w:type="dxa"/>
          </w:tcPr>
          <w:p>
            <w:pPr>
              <w:spacing w:before="40" w:after="40"/>
            </w:pPr>
            <w:r>
              <w:rPr>
                <w:color w:val="2b2b2b"/>
                <w:sz w:val="20"/>
              </w:rPr>
              <w:t>Outdated or wrong address</w:t>
            </w:r>
          </w:p>
        </w:tc>
      </w:tr>
      <w:tr>
        <w:tc>
          <w:tcPr>
            <w:tcW w:w="3600" w:type="dxa"/>
            <w:shd w:val="clear" w:fill="f5f5f5"/>
          </w:tcPr>
          <w:p>
            <w:pPr>
              <w:spacing w:before="40" w:after="40"/>
            </w:pPr>
            <w:r>
              <w:rPr>
                <w:color w:val="2b2b2b"/>
                <w:sz w:val="20"/>
              </w:rPr>
              <w:t>Date of First Contact</w:t>
            </w:r>
          </w:p>
        </w:tc>
        <w:tc>
          <w:tcPr>
            <w:tcW w:w="2400" w:type="dxa"/>
            <w:shd w:val="clear" w:fill="f5f5f5"/>
          </w:tcPr>
          <w:p>
            <w:pPr>
              <w:spacing w:before="40" w:after="40"/>
            </w:pPr>
            <w:r>
              <w:rPr>
                <w:color w:val="2b2b2b"/>
                <w:sz w:val="20"/>
              </w:rPr>
              <w:t>Validation notice timeline is correct</w:t>
            </w:r>
          </w:p>
        </w:tc>
        <w:tc>
          <w:tcPr>
            <w:tcW w:w="3600" w:type="dxa"/>
            <w:shd w:val="clear" w:fill="f5f5f5"/>
          </w:tcPr>
          <w:p>
            <w:pPr>
              <w:spacing w:before="40" w:after="40"/>
            </w:pPr>
            <w:r>
              <w:rPr>
                <w:color w:val="2b2b2b"/>
                <w:sz w:val="20"/>
              </w:rPr>
              <w:t>Missing the 5-day notice window</w:t>
            </w:r>
          </w:p>
        </w:tc>
      </w:tr>
    </w:tbl>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Common Violations and Consequences</w:t>
      </w:r>
      <w:bookmarkStart w:name="_Toc005" w:id="5"/>
      <w:bookmarkEnd w:id="5"/>
    </w:p>
    <w:p>
      <w:pPr>
        <w:spacing w:after="160"/>
      </w:pPr>
      <w:r>
        <w:t>FDCPA violations during service are serious. They can lead to lawsuits, fines, and license revocation. This table shows common violations and their consequences.</w:t>
      </w:r>
    </w:p>
    <w:tbl>
      <w:tblPr>
        <w:tblW w:w="5000" w:type="pct"/>
        <w:tblBorders>
          <w:top w:val="single" w:color="1a2744" w:sz="12"/>
          <w:left w:val="nil"/>
          <w:bottom w:val="single" w:color="1a2744" w:sz="12"/>
          <w:right w:val="nil"/>
          <w:insideH w:val="single" w:color="cccccc" w:sz="4"/>
          <w:insideV w:val="nil"/>
        </w:tblBorders>
      </w:tblPr>
      <w:tblGrid>
        <w:gridCol w:w="3000"/>
        <w:gridCol w:w="2400"/>
        <w:gridCol w:w="4200"/>
      </w:tblGrid>
      <w:tr>
        <w:trPr>
          <w:tblHeader/>
        </w:trPr>
        <w:tc>
          <w:tcPr>
            <w:tcW w:w="3000" w:type="dxa"/>
            <w:shd w:val="clear" w:fill="1a2744"/>
          </w:tcPr>
          <w:p>
            <w:pPr>
              <w:spacing w:before="60" w:after="60"/>
              <w:jc w:val="left"/>
            </w:pPr>
            <w:r>
              <w:rPr>
                <w:b/>
                <w:color w:val="FFFFFF"/>
                <w:sz w:val="20"/>
              </w:rPr>
              <w:t>Violation</w:t>
            </w:r>
          </w:p>
        </w:tc>
        <w:tc>
          <w:tcPr>
            <w:tcW w:w="2400" w:type="dxa"/>
            <w:shd w:val="clear" w:fill="1a2744"/>
          </w:tcPr>
          <w:p>
            <w:pPr>
              <w:spacing w:before="60" w:after="60"/>
              <w:jc w:val="left"/>
            </w:pPr>
            <w:r>
              <w:rPr>
                <w:b/>
                <w:color w:val="FFFFFF"/>
                <w:sz w:val="20"/>
              </w:rPr>
              <w:t>Statute</w:t>
            </w:r>
          </w:p>
        </w:tc>
        <w:tc>
          <w:tcPr>
            <w:tcW w:w="4200" w:type="dxa"/>
            <w:shd w:val="clear" w:fill="1a2744"/>
          </w:tcPr>
          <w:p>
            <w:pPr>
              <w:spacing w:before="60" w:after="60"/>
              <w:jc w:val="left"/>
            </w:pPr>
            <w:r>
              <w:rPr>
                <w:b/>
                <w:color w:val="FFFFFF"/>
                <w:sz w:val="20"/>
              </w:rPr>
              <w:t>Consequences</w:t>
            </w:r>
          </w:p>
        </w:tc>
      </w:tr>
      <w:tr>
        <w:tc>
          <w:tcPr>
            <w:tcW w:w="3000" w:type="dxa"/>
          </w:tcPr>
          <w:p>
            <w:pPr>
              <w:spacing w:before="40" w:after="40"/>
            </w:pPr>
            <w:r>
              <w:rPr>
                <w:color w:val="2b2b2b"/>
                <w:sz w:val="20"/>
              </w:rPr>
              <w:t>Calling before 8 AM or after 9 PM</w:t>
            </w:r>
          </w:p>
        </w:tc>
        <w:tc>
          <w:tcPr>
            <w:tcW w:w="2400" w:type="dxa"/>
          </w:tcPr>
          <w:p>
            <w:pPr>
              <w:spacing w:before="40" w:after="40"/>
            </w:pPr>
            <w:r>
              <w:rPr>
                <w:color w:val="2b2b2b"/>
                <w:sz w:val="20"/>
              </w:rPr>
              <w:t>15 U.S.C. §1692c(a)(1)</w:t>
            </w:r>
          </w:p>
        </w:tc>
        <w:tc>
          <w:tcPr>
            <w:tcW w:w="4200" w:type="dxa"/>
          </w:tcPr>
          <w:p>
            <w:pPr>
              <w:spacing w:before="40" w:after="40"/>
            </w:pPr>
            <w:r>
              <w:rPr>
                <w:color w:val="2b2b2b"/>
                <w:sz w:val="20"/>
              </w:rPr>
              <w:t>Statutory damages up to $1,000, actual damages, attorney fees</w:t>
            </w:r>
          </w:p>
        </w:tc>
      </w:tr>
      <w:tr>
        <w:tc>
          <w:tcPr>
            <w:tcW w:w="3000" w:type="dxa"/>
            <w:shd w:val="clear" w:fill="f5f5f5"/>
          </w:tcPr>
          <w:p>
            <w:pPr>
              <w:spacing w:before="40" w:after="40"/>
            </w:pPr>
            <w:r>
              <w:rPr>
                <w:color w:val="2b2b2b"/>
                <w:sz w:val="20"/>
              </w:rPr>
              <w:t>Talking to third parties about the debt</w:t>
            </w:r>
          </w:p>
        </w:tc>
        <w:tc>
          <w:tcPr>
            <w:tcW w:w="2400" w:type="dxa"/>
            <w:shd w:val="clear" w:fill="f5f5f5"/>
          </w:tcPr>
          <w:p>
            <w:pPr>
              <w:spacing w:before="40" w:after="40"/>
            </w:pPr>
            <w:r>
              <w:rPr>
                <w:color w:val="2b2b2b"/>
                <w:sz w:val="20"/>
              </w:rPr>
              <w:t>15 U.S.C. §1692c(b)</w:t>
            </w:r>
          </w:p>
        </w:tc>
        <w:tc>
          <w:tcPr>
            <w:tcW w:w="4200" w:type="dxa"/>
            <w:shd w:val="clear" w:fill="f5f5f5"/>
          </w:tcPr>
          <w:p>
            <w:pPr>
              <w:spacing w:before="40" w:after="40"/>
            </w:pPr>
            <w:r>
              <w:rPr>
                <w:color w:val="2b2b2b"/>
                <w:sz w:val="20"/>
              </w:rPr>
              <w:t>Individual or class action lawsuit; class actions capped at lesser of $500,000 or 1% of net worth</w:t>
            </w:r>
          </w:p>
        </w:tc>
      </w:tr>
      <w:tr>
        <w:tc>
          <w:tcPr>
            <w:tcW w:w="3000" w:type="dxa"/>
          </w:tcPr>
          <w:p>
            <w:pPr>
              <w:spacing w:before="40" w:after="40"/>
            </w:pPr>
            <w:r>
              <w:rPr>
                <w:color w:val="2b2b2b"/>
                <w:sz w:val="20"/>
              </w:rPr>
              <w:t>Contacting consumer with attorney</w:t>
            </w:r>
          </w:p>
        </w:tc>
        <w:tc>
          <w:tcPr>
            <w:tcW w:w="2400" w:type="dxa"/>
          </w:tcPr>
          <w:p>
            <w:pPr>
              <w:spacing w:before="40" w:after="40"/>
            </w:pPr>
            <w:r>
              <w:rPr>
                <w:color w:val="2b2b2b"/>
                <w:sz w:val="20"/>
              </w:rPr>
              <w:t>15 U.S.C. §1692c(a)(2)</w:t>
            </w:r>
          </w:p>
        </w:tc>
        <w:tc>
          <w:tcPr>
            <w:tcW w:w="4200" w:type="dxa"/>
          </w:tcPr>
          <w:p>
            <w:pPr>
              <w:spacing w:before="40" w:after="40"/>
            </w:pPr>
            <w:r>
              <w:rPr>
                <w:color w:val="2b2b2b"/>
                <w:sz w:val="20"/>
              </w:rPr>
              <w:t>Same civil liability; court may also sanction</w:t>
            </w:r>
          </w:p>
        </w:tc>
      </w:tr>
      <w:tr>
        <w:tc>
          <w:tcPr>
            <w:tcW w:w="3000" w:type="dxa"/>
            <w:shd w:val="clear" w:fill="f5f5f5"/>
          </w:tcPr>
          <w:p>
            <w:pPr>
              <w:spacing w:before="40" w:after="40"/>
            </w:pPr>
            <w:r>
              <w:rPr>
                <w:color w:val="2b2b2b"/>
                <w:sz w:val="20"/>
              </w:rPr>
              <w:t>Threats or harassment during service</w:t>
            </w:r>
          </w:p>
        </w:tc>
        <w:tc>
          <w:tcPr>
            <w:tcW w:w="2400" w:type="dxa"/>
            <w:shd w:val="clear" w:fill="f5f5f5"/>
          </w:tcPr>
          <w:p>
            <w:pPr>
              <w:spacing w:before="40" w:after="40"/>
            </w:pPr>
            <w:r>
              <w:rPr>
                <w:color w:val="2b2b2b"/>
                <w:sz w:val="20"/>
              </w:rPr>
              <w:t>15 U.S.C. §1692d</w:t>
            </w:r>
          </w:p>
        </w:tc>
        <w:tc>
          <w:tcPr>
            <w:tcW w:w="4200" w:type="dxa"/>
            <w:shd w:val="clear" w:fill="f5f5f5"/>
          </w:tcPr>
          <w:p>
            <w:pPr>
              <w:spacing w:before="40" w:after="40"/>
            </w:pPr>
            <w:r>
              <w:rPr>
                <w:color w:val="2b2b2b"/>
                <w:sz w:val="20"/>
              </w:rPr>
              <w:t>Civil liability; may also face criminal charges for threats</w:t>
            </w:r>
          </w:p>
        </w:tc>
      </w:tr>
      <w:tr>
        <w:tc>
          <w:tcPr>
            <w:tcW w:w="3000" w:type="dxa"/>
          </w:tcPr>
          <w:p>
            <w:pPr>
              <w:spacing w:before="40" w:after="40"/>
            </w:pPr>
            <w:r>
              <w:rPr>
                <w:color w:val="2b2b2b"/>
                <w:sz w:val="20"/>
              </w:rPr>
              <w:t>False amount or creditor on documents</w:t>
            </w:r>
          </w:p>
        </w:tc>
        <w:tc>
          <w:tcPr>
            <w:tcW w:w="2400" w:type="dxa"/>
          </w:tcPr>
          <w:p>
            <w:pPr>
              <w:spacing w:before="40" w:after="40"/>
            </w:pPr>
            <w:r>
              <w:rPr>
                <w:color w:val="2b2b2b"/>
                <w:sz w:val="20"/>
              </w:rPr>
              <w:t>15 U.S.C. §1692e</w:t>
            </w:r>
          </w:p>
        </w:tc>
        <w:tc>
          <w:tcPr>
            <w:tcW w:w="4200" w:type="dxa"/>
          </w:tcPr>
          <w:p>
            <w:pPr>
              <w:spacing w:before="40" w:after="40"/>
            </w:pPr>
            <w:r>
              <w:rPr>
                <w:color w:val="2b2b2b"/>
                <w:sz w:val="20"/>
              </w:rPr>
              <w:t>Actual damages plus statutory; heightened if intentional</w:t>
            </w:r>
          </w:p>
        </w:tc>
      </w:tr>
      <w:tr>
        <w:tc>
          <w:tcPr>
            <w:tcW w:w="3000" w:type="dxa"/>
            <w:shd w:val="clear" w:fill="f5f5f5"/>
          </w:tcPr>
          <w:p>
            <w:pPr>
              <w:spacing w:before="40" w:after="40"/>
            </w:pPr>
            <w:r>
              <w:rPr>
                <w:color w:val="2b2b2b"/>
                <w:sz w:val="20"/>
              </w:rPr>
              <w:t>Adding unauthorized fees</w:t>
            </w:r>
          </w:p>
        </w:tc>
        <w:tc>
          <w:tcPr>
            <w:tcW w:w="2400" w:type="dxa"/>
            <w:shd w:val="clear" w:fill="f5f5f5"/>
          </w:tcPr>
          <w:p>
            <w:pPr>
              <w:spacing w:before="40" w:after="40"/>
            </w:pPr>
            <w:r>
              <w:rPr>
                <w:color w:val="2b2b2b"/>
                <w:sz w:val="20"/>
              </w:rPr>
              <w:t>15 U.S.C. §1692f(1)</w:t>
            </w:r>
          </w:p>
        </w:tc>
        <w:tc>
          <w:tcPr>
            <w:tcW w:w="4200" w:type="dxa"/>
            <w:shd w:val="clear" w:fill="f5f5f5"/>
          </w:tcPr>
          <w:p>
            <w:pPr>
              <w:spacing w:before="40" w:after="40"/>
            </w:pPr>
            <w:r>
              <w:rPr>
                <w:color w:val="2b2b2b"/>
                <w:sz w:val="20"/>
              </w:rPr>
              <w:t>Must refund; faces FDCPA suit plus state unfair practice claims</w:t>
            </w:r>
          </w:p>
        </w:tc>
      </w:tr>
      <w:tr>
        <w:tc>
          <w:tcPr>
            <w:tcW w:w="3000" w:type="dxa"/>
          </w:tcPr>
          <w:p>
            <w:pPr>
              <w:spacing w:before="40" w:after="40"/>
            </w:pPr>
            <w:r>
              <w:rPr>
                <w:color w:val="2b2b2b"/>
                <w:sz w:val="20"/>
              </w:rPr>
              <w:t>Ignoring written cease request</w:t>
            </w:r>
          </w:p>
        </w:tc>
        <w:tc>
          <w:tcPr>
            <w:tcW w:w="2400" w:type="dxa"/>
          </w:tcPr>
          <w:p>
            <w:pPr>
              <w:spacing w:before="40" w:after="40"/>
            </w:pPr>
            <w:r>
              <w:rPr>
                <w:color w:val="2b2b2b"/>
                <w:sz w:val="20"/>
              </w:rPr>
              <w:t>15 U.S.C. §1692c(c)</w:t>
            </w:r>
          </w:p>
        </w:tc>
        <w:tc>
          <w:tcPr>
            <w:tcW w:w="4200" w:type="dxa"/>
          </w:tcPr>
          <w:p>
            <w:pPr>
              <w:spacing w:before="40" w:after="40"/>
            </w:pPr>
            <w:r>
              <w:rPr>
                <w:color w:val="2b2b2b"/>
                <w:sz w:val="20"/>
              </w:rPr>
              <w:t>Statutory damages; each contact after cease is a separate violation</w:t>
            </w:r>
          </w:p>
        </w:tc>
      </w:tr>
      <w:tr>
        <w:tc>
          <w:tcPr>
            <w:tcW w:w="3000" w:type="dxa"/>
            <w:shd w:val="clear" w:fill="f5f5f5"/>
          </w:tcPr>
          <w:p>
            <w:pPr>
              <w:spacing w:before="40" w:after="40"/>
            </w:pPr>
            <w:r>
              <w:rPr>
                <w:color w:val="2b2b2b"/>
                <w:sz w:val="20"/>
              </w:rPr>
              <w:t>No validation notice within 5 days</w:t>
            </w:r>
          </w:p>
        </w:tc>
        <w:tc>
          <w:tcPr>
            <w:tcW w:w="2400" w:type="dxa"/>
            <w:shd w:val="clear" w:fill="f5f5f5"/>
          </w:tcPr>
          <w:p>
            <w:pPr>
              <w:spacing w:before="40" w:after="40"/>
            </w:pPr>
            <w:r>
              <w:rPr>
                <w:color w:val="2b2b2b"/>
                <w:sz w:val="20"/>
              </w:rPr>
              <w:t>15 U.S.C. §1692g</w:t>
            </w:r>
          </w:p>
        </w:tc>
        <w:tc>
          <w:tcPr>
            <w:tcW w:w="4200" w:type="dxa"/>
            <w:shd w:val="clear" w:fill="f5f5f5"/>
          </w:tcPr>
          <w:p>
            <w:pPr>
              <w:spacing w:before="40" w:after="40"/>
            </w:pPr>
            <w:r>
              <w:rPr>
                <w:color w:val="2b2b2b"/>
                <w:sz w:val="20"/>
              </w:rPr>
              <w:t>Violation of core requirement; damages and fees</w:t>
            </w:r>
          </w:p>
        </w:tc>
      </w:tr>
      <w:tr>
        <w:tc>
          <w:tcPr>
            <w:tcW w:w="3000" w:type="dxa"/>
          </w:tcPr>
          <w:p>
            <w:pPr>
              <w:spacing w:before="40" w:after="40"/>
            </w:pPr>
            <w:r>
              <w:rPr>
                <w:color w:val="2b2b2b"/>
                <w:sz w:val="20"/>
              </w:rPr>
              <w:t>Continuing collection during dispute</w:t>
            </w:r>
          </w:p>
        </w:tc>
        <w:tc>
          <w:tcPr>
            <w:tcW w:w="2400" w:type="dxa"/>
          </w:tcPr>
          <w:p>
            <w:pPr>
              <w:spacing w:before="40" w:after="40"/>
            </w:pPr>
            <w:r>
              <w:rPr>
                <w:color w:val="2b2b2b"/>
                <w:sz w:val="20"/>
              </w:rPr>
              <w:t>15 U.S.C. §1692g(b)</w:t>
            </w:r>
          </w:p>
        </w:tc>
        <w:tc>
          <w:tcPr>
            <w:tcW w:w="4200" w:type="dxa"/>
          </w:tcPr>
          <w:p>
            <w:pPr>
              <w:spacing w:before="40" w:after="40"/>
            </w:pPr>
            <w:r>
              <w:rPr>
                <w:color w:val="2b2b2b"/>
                <w:sz w:val="20"/>
              </w:rPr>
              <w:t>All collection during dispute period is unlawful</w:t>
            </w:r>
          </w:p>
        </w:tc>
      </w:tr>
      <w:tr>
        <w:tc>
          <w:tcPr>
            <w:tcW w:w="3000" w:type="dxa"/>
            <w:shd w:val="clear" w:fill="f5f5f5"/>
          </w:tcPr>
          <w:p>
            <w:pPr>
              <w:spacing w:before="40" w:after="40"/>
            </w:pPr>
            <w:r>
              <w:rPr>
                <w:color w:val="2b2b2b"/>
                <w:sz w:val="20"/>
              </w:rPr>
              <w:t>Serving without Oklahoma license</w:t>
            </w:r>
          </w:p>
        </w:tc>
        <w:tc>
          <w:tcPr>
            <w:tcW w:w="2400" w:type="dxa"/>
            <w:shd w:val="clear" w:fill="f5f5f5"/>
          </w:tcPr>
          <w:p>
            <w:pPr>
              <w:spacing w:before="40" w:after="40"/>
            </w:pPr>
            <w:r>
              <w:rPr>
                <w:color w:val="2b2b2b"/>
                <w:sz w:val="20"/>
              </w:rPr>
              <w:t>12 O.S. §158.1(I)</w:t>
            </w:r>
          </w:p>
        </w:tc>
        <w:tc>
          <w:tcPr>
            <w:tcW w:w="4200" w:type="dxa"/>
            <w:shd w:val="clear" w:fill="f5f5f5"/>
          </w:tcPr>
          <w:p>
            <w:pPr>
              <w:spacing w:before="40" w:after="40"/>
            </w:pPr>
            <w:r>
              <w:rPr>
                <w:color w:val="2b2b2b"/>
                <w:sz w:val="20"/>
              </w:rPr>
              <w:t>Misdemeanor criminal charge; all service is invalid</w:t>
            </w:r>
          </w:p>
        </w:tc>
      </w:tr>
    </w:tbl>
    <w:p>
      <w:pPr>
        <w:pStyle w:val="Heading2"/>
      </w:pPr>
      <w:r>
        <w:t>Types of Liability</w:t>
      </w:r>
    </w:p>
    <w:p>
      <w:pPr>
        <w:spacing w:after="160"/>
      </w:pPr>
      <w:r>
        <w:rPr>
          <w:b/>
        </w:rPr>
        <w:t xml:space="preserve">Individual Lawsuits: </w:t>
      </w:r>
      <w:r>
        <w:t xml:space="preserve">A single consumer can sue for actual damages, up to $1,000 in statutory damages per violation, plus attorney fees and court costs.</w:t>
      </w:r>
    </w:p>
    <w:p>
      <w:pPr>
        <w:spacing w:after="160"/>
      </w:pPr>
      <w:r>
        <w:rPr>
          <w:b/>
        </w:rPr>
        <w:t xml:space="preserve">Class Actions: </w:t>
      </w:r>
      <w:r>
        <w:t xml:space="preserve">Statutory damages are capped at the lesser of $500,000 or 1% of the debt collector's net worth. Each named plaintiff can receive up to $1,000.</w:t>
      </w:r>
    </w:p>
    <w:p>
      <w:pPr>
        <w:spacing w:after="160"/>
      </w:pPr>
      <w:r>
        <w:rPr>
          <w:b/>
        </w:rPr>
        <w:t xml:space="preserve">Actual Damages: </w:t>
      </w:r>
      <w:r>
        <w:t xml:space="preserve">Compensation for real harm suffered, such as emotional distress, lost wages, or medical bills caused by the violation.</w:t>
      </w:r>
    </w:p>
    <w:p>
      <w:pPr>
        <w:spacing w:after="160"/>
      </w:pPr>
      <w:r>
        <w:rPr>
          <w:b/>
        </w:rPr>
        <w:t xml:space="preserve">Attorney Fees: </w:t>
      </w:r>
      <w:r>
        <w:t xml:space="preserve">The court orders the collector to pay the consumer's attorney fees. This can far exceed the damages.</w:t>
      </w:r>
    </w:p>
    <w:p>
      <w:pPr>
        <w:pStyle w:val="Heading2"/>
      </w:pPr>
      <w:r>
        <w:t>Oklahoma Licensing Penalties</w:t>
      </w:r>
    </w:p>
    <w:p>
      <w:pPr>
        <w:spacing w:after="160"/>
      </w:pPr>
      <w:r>
        <w:t>Serving process without an Oklahoma license is a misdemeanor under 12 O.S. §158.1(I). A licensed server whose license is revoked cannot reapply for 5 years. A second revocation is permanent.</w:t>
      </w:r>
    </w:p>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Cease Communication Procedures</w:t>
      </w:r>
      <w:bookmarkStart w:name="_Toc006" w:id="6"/>
      <w:bookmarkEnd w:id="6"/>
    </w:p>
    <w:p>
      <w:pPr>
        <w:spacing w:after="160"/>
      </w:pPr>
      <w:r>
        <w:t>Under 15 U.S.C. §1692c(c), a consumer can stop all communication from a debt collector by sending a written request. This is one of the most powerful rights under the FDCPA. Collectors must follow it exactly.</w:t>
      </w:r>
    </w:p>
    <w:p>
      <w:pPr>
        <w:pStyle w:val="Heading2"/>
      </w:pPr>
      <w:r>
        <w:t>When a Consumer Sends a Cease Letter</w:t>
      </w:r>
    </w:p>
    <w:p>
      <w:pPr>
        <w:spacing w:after="160"/>
      </w:pPr>
      <w:r>
        <w:t>If the consumer sends a written letter saying they refuse to pay or want you to stop contacting them, you must:</w:t>
      </w:r>
    </w:p>
    <w:p>
      <w:pPr>
        <w:numPr>
          <w:ilvl w:val="0"/>
          <w:numId w:val="1"/>
        </w:numPr>
        <w:spacing w:after="80"/>
      </w:pPr>
      <w:r>
        <w:t>Immediately stop all phone calls, texts, emails, and letters about the debt.</w:t>
      </w:r>
    </w:p>
    <w:p>
      <w:pPr>
        <w:numPr>
          <w:ilvl w:val="0"/>
          <w:numId w:val="1"/>
        </w:numPr>
        <w:spacing w:after="80"/>
      </w:pPr>
      <w:r>
        <w:t>Stop all service attempts on collection documents for that debt.</w:t>
      </w:r>
    </w:p>
    <w:p>
      <w:pPr>
        <w:numPr>
          <w:ilvl w:val="0"/>
          <w:numId w:val="1"/>
        </w:numPr>
        <w:spacing w:after="80"/>
      </w:pPr>
      <w:r>
        <w:t>Send only the permitted follow-up notices described below.</w:t>
      </w:r>
    </w:p>
    <w:p>
      <w:pPr>
        <w:numPr>
          <w:ilvl w:val="0"/>
          <w:numId w:val="1"/>
        </w:numPr>
        <w:spacing w:after="80"/>
      </w:pPr>
      <w:r>
        <w:t>Log the cease letter date in your records.</w:t>
      </w:r>
    </w:p>
    <w:p>
      <w:pPr>
        <w:numPr>
          <w:ilvl w:val="0"/>
          <w:numId w:val="1"/>
        </w:numPr>
        <w:spacing w:after="80"/>
      </w:pPr>
      <w:r>
        <w:t>Notify all staff and vendors (including process servers) of the cease.</w:t>
      </w:r>
    </w:p>
    <w:p>
      <w:pPr>
        <w:pStyle w:val="Heading2"/>
      </w:pPr>
      <w:r>
        <w:t>Permitted Communications After Cease Letter</w:t>
      </w:r>
    </w:p>
    <w:p>
      <w:pPr>
        <w:spacing w:after="160"/>
      </w:pPr>
      <w:r>
        <w:t>The FDCPA allows only three types of contact after a cease letter. All other communication is a violation.</w:t>
      </w:r>
    </w:p>
    <w:tbl>
      <w:tblPr>
        <w:tblW w:w="5000" w:type="pct"/>
        <w:tblBorders>
          <w:top w:val="single" w:color="1a2744" w:sz="12"/>
          <w:left w:val="nil"/>
          <w:bottom w:val="single" w:color="1a2744" w:sz="12"/>
          <w:right w:val="nil"/>
          <w:insideH w:val="single" w:color="cccccc" w:sz="4"/>
          <w:insideV w:val="nil"/>
        </w:tblBorders>
      </w:tblPr>
      <w:tblGrid>
        <w:gridCol w:w="1200"/>
        <w:gridCol w:w="8400"/>
      </w:tblGrid>
      <w:tr>
        <w:trPr>
          <w:tblHeader/>
        </w:trPr>
        <w:tc>
          <w:tcPr>
            <w:tcW w:w="1200" w:type="dxa"/>
            <w:shd w:val="clear" w:fill="1a2744"/>
          </w:tcPr>
          <w:p>
            <w:pPr>
              <w:spacing w:before="60" w:after="60"/>
              <w:jc w:val="left"/>
            </w:pPr>
            <w:r>
              <w:rPr>
                <w:b/>
                <w:color w:val="FFFFFF"/>
                <w:sz w:val="20"/>
              </w:rPr>
              <w:t>Type</w:t>
            </w:r>
          </w:p>
        </w:tc>
        <w:tc>
          <w:tcPr>
            <w:tcW w:w="8400" w:type="dxa"/>
            <w:shd w:val="clear" w:fill="1a2744"/>
          </w:tcPr>
          <w:p>
            <w:pPr>
              <w:spacing w:before="60" w:after="60"/>
              <w:jc w:val="left"/>
            </w:pPr>
            <w:r>
              <w:rPr>
                <w:b/>
                <w:color w:val="FFFFFF"/>
                <w:sz w:val="20"/>
              </w:rPr>
              <w:t>Description</w:t>
            </w:r>
          </w:p>
        </w:tc>
      </w:tr>
      <w:tr>
        <w:tc>
          <w:tcPr>
            <w:tcW w:w="1200" w:type="dxa"/>
          </w:tcPr>
          <w:p>
            <w:pPr>
              <w:spacing w:before="40" w:after="40"/>
            </w:pPr>
            <w:r>
              <w:rPr>
                <w:color w:val="2b2b2b"/>
                <w:sz w:val="20"/>
              </w:rPr>
              <w:t>Termination Notice</w:t>
            </w:r>
          </w:p>
        </w:tc>
        <w:tc>
          <w:tcPr>
            <w:tcW w:w="8400" w:type="dxa"/>
          </w:tcPr>
          <w:p>
            <w:pPr>
              <w:spacing w:before="40" w:after="40"/>
            </w:pPr>
            <w:r>
              <w:rPr>
                <w:color w:val="2b2b2b"/>
                <w:sz w:val="20"/>
              </w:rPr>
              <w:t>Tell the consumer that your collection efforts are ending. This is a one-time notice.</w:t>
            </w:r>
          </w:p>
        </w:tc>
      </w:tr>
      <w:tr>
        <w:tc>
          <w:tcPr>
            <w:tcW w:w="1200" w:type="dxa"/>
            <w:shd w:val="clear" w:fill="f5f5f5"/>
          </w:tcPr>
          <w:p>
            <w:pPr>
              <w:spacing w:before="40" w:after="40"/>
            </w:pPr>
            <w:r>
              <w:rPr>
                <w:color w:val="2b2b2b"/>
                <w:sz w:val="20"/>
              </w:rPr>
              <w:t>Remedy Warning</w:t>
            </w:r>
          </w:p>
        </w:tc>
        <w:tc>
          <w:tcPr>
            <w:tcW w:w="8400" w:type="dxa"/>
            <w:shd w:val="clear" w:fill="f5f5f5"/>
          </w:tcPr>
          <w:p>
            <w:pPr>
              <w:spacing w:before="40" w:after="40"/>
            </w:pPr>
            <w:r>
              <w:rPr>
                <w:color w:val="2b2b2b"/>
                <w:sz w:val="20"/>
              </w:rPr>
              <w:t>Notify the consumer that you or the creditor may use ordinary remedies, such as filing a lawsuit.</w:t>
            </w:r>
          </w:p>
        </w:tc>
      </w:tr>
      <w:tr>
        <w:tc>
          <w:tcPr>
            <w:tcW w:w="1200" w:type="dxa"/>
          </w:tcPr>
          <w:p>
            <w:pPr>
              <w:spacing w:before="40" w:after="40"/>
            </w:pPr>
            <w:r>
              <w:rPr>
                <w:color w:val="2b2b2b"/>
                <w:sz w:val="20"/>
              </w:rPr>
              <w:t>Intent to Sue</w:t>
            </w:r>
          </w:p>
        </w:tc>
        <w:tc>
          <w:tcPr>
            <w:tcW w:w="8400" w:type="dxa"/>
          </w:tcPr>
          <w:p>
            <w:pPr>
              <w:spacing w:before="40" w:after="40"/>
            </w:pPr>
            <w:r>
              <w:rPr>
                <w:color w:val="2b2b2b"/>
                <w:sz w:val="20"/>
              </w:rPr>
              <w:t>If you actually plan to file a lawsuit, you can notify the consumer of that specific intent.</w:t>
            </w:r>
          </w:p>
        </w:tc>
      </w:tr>
    </w:tbl>
    <w:p>
      <w:pPr>
        <w:pStyle w:val="Heading2"/>
      </w:pPr>
      <w:r>
        <w:t>Important Rules After Cease</w:t>
      </w:r>
    </w:p>
    <w:p>
      <w:pPr>
        <w:spacing w:after="160"/>
      </w:pPr>
      <w:r>
        <w:t>Even after a cease letter, you may still file a lawsuit if the debt is valid and within the statute of limitations. However, you cannot contact the consumer about the lawsuit except through formal court service. The cease letter does not prevent you from serving court papers through a licensed process server. But it does prevent informal contact about the debt.</w:t>
      </w:r>
    </w:p>
    <w:p>
      <w:pPr>
        <w:pStyle w:val="Heading2"/>
      </w:pPr>
      <w:r>
        <w:t>Checklist: Cease Letter Received</w:t>
      </w:r>
    </w:p>
    <w:p>
      <w:pPr>
        <w:numPr>
          <w:ilvl w:val="0"/>
          <w:numId w:val="1"/>
        </w:numPr>
        <w:spacing w:after="80"/>
      </w:pPr>
      <w:r>
        <w:t>Date the letter was received: ____________</w:t>
      </w:r>
    </w:p>
    <w:p>
      <w:pPr>
        <w:numPr>
          <w:ilvl w:val="0"/>
          <w:numId w:val="1"/>
        </w:numPr>
        <w:spacing w:after="80"/>
      </w:pPr>
      <w:r>
        <w:t>Staff member who processed it: ____________</w:t>
      </w:r>
    </w:p>
    <w:p>
      <w:pPr>
        <w:numPr>
          <w:ilvl w:val="0"/>
          <w:numId w:val="1"/>
        </w:numPr>
        <w:spacing w:after="80"/>
      </w:pPr>
      <w:r>
        <w:t>All contact stopped as of: ____________</w:t>
      </w:r>
    </w:p>
    <w:p>
      <w:pPr>
        <w:numPr>
          <w:ilvl w:val="0"/>
          <w:numId w:val="1"/>
        </w:numPr>
        <w:spacing w:after="80"/>
      </w:pPr>
      <w:r>
        <w:t>Process server notified: ____________</w:t>
      </w:r>
    </w:p>
    <w:p>
      <w:pPr>
        <w:numPr>
          <w:ilvl w:val="0"/>
          <w:numId w:val="1"/>
        </w:numPr>
        <w:spacing w:after="80"/>
      </w:pPr>
      <w:r>
        <w:t>Permitted follow-up sent (if applicable): ____________</w:t>
      </w:r>
    </w:p>
    <w:p>
      <w:pPr>
        <w:numPr>
          <w:ilvl w:val="0"/>
          <w:numId w:val="1"/>
        </w:numPr>
        <w:spacing w:after="80"/>
      </w:pPr>
      <w:r>
        <w:t>Case flagged in system: ____________</w:t>
      </w:r>
    </w:p>
    <w:p>
      <w:pPr>
        <w:sectPr>
          <w:headerReference w:type="default" r:id="Ref06033d6fd44e53"/>
          <w:footerReference w:type="default" r:id="Rd21d83bed90f427b"/>
          <w:type w:val="nextPage"/>
          <w:pgSz w:w="12240" w:h="15840"/>
          <w:pgMar w:top="1440" w:right="1440" w:bottom="1440" w:left="1440" w:header="720" w:footer="720"/>
        </w:sectPr>
      </w:pPr>
    </w:p>
    <w:p>
      <w:pPr>
        <w:pStyle w:val="Heading1"/>
      </w:pPr>
      <w:r>
        <w:t>Important Disclaimer</w:t>
      </w:r>
      <w:bookmarkStart w:name="_Toc999" w:id="7"/>
      <w:bookmarkEnd w:id="7"/>
    </w:p>
    <w:p>
      <w:pPr>
        <w:pBdr>
          <w:left w:val="single" w:color="d4a017" w:sz="18" w:space="8"/>
        </w:pBdr>
        <w:shd w:val="clear" w:fill="f0f0f0"/>
        <w:spacing w:before="200" w:after="200"/>
        <w:ind w:left="200" w:right="200"/>
      </w:pPr>
      <w:r>
        <w:rPr>
          <w:b/>
          <w:color w:val="1a2744"/>
        </w:rPr>
        <w:t>Not a law firm. </w:t>
      </w:r>
      <w:r>
        <w:t>This document provides procedural information only. It is not legal advice. The information is based on federal and Oklahoma statutes as of April 2026. Laws change. Always verify current rules before acting.</w:t>
      </w:r>
    </w:p>
    <w:p>
      <w:pPr>
        <w:spacing w:after="160"/>
      </w:pPr>
      <w:r>
        <w:t>Sources for this guide include: 15 U.S.C. §§1692-1692p (FDCPA); 12 O.S. §§158.1 and 2004 (Oklahoma process server licensing and service of process); 12 CFR Part 1006 (CFPB Regulation F); and Oklahoma court rules. Verify all statutes at the official sources before relying on them.</w:t>
      </w:r>
    </w:p>
    <w:p>
      <w:pPr>
        <w:pStyle w:val="Heading2"/>
      </w:pPr>
      <w:r>
        <w:t>About This Document</w:t>
      </w:r>
    </w:p>
    <w:tbl>
      <w:tblPr>
        <w:tblW w:w="5000" w:type="pct"/>
        <w:tblBorders>
          <w:top w:val="single" w:color="1a2744" w:sz="12"/>
          <w:left w:val="nil"/>
          <w:bottom w:val="single" w:color="1a2744" w:sz="12"/>
          <w:right w:val="nil"/>
          <w:insideH w:val="single" w:color="cccccc" w:sz="4"/>
          <w:insideV w:val="nil"/>
        </w:tblBorders>
      </w:tblPr>
      <w:tblGrid>
        <w:gridCol w:w="3000"/>
        <w:gridCol w:w="6000"/>
      </w:tblGrid>
      <w:tr>
        <w:tc>
          <w:tcPr>
            <w:tcW w:w="3000" w:type="dxa"/>
          </w:tcPr>
          <w:p>
            <w:pPr>
              <w:spacing w:before="40" w:after="40"/>
            </w:pPr>
            <w:r>
              <w:rPr>
                <w:color w:val="2b2b2b"/>
                <w:sz w:val="20"/>
              </w:rPr>
              <w:t>Version</w:t>
            </w:r>
          </w:p>
        </w:tc>
        <w:tc>
          <w:tcPr>
            <w:tcW w:w="6000" w:type="dxa"/>
          </w:tcPr>
          <w:p>
            <w:pPr>
              <w:spacing w:before="40" w:after="40"/>
            </w:pPr>
            <w:r>
              <w:rPr>
                <w:color w:val="2b2b2b"/>
                <w:sz w:val="20"/>
              </w:rPr>
              <w:t>v1.0</w:t>
            </w:r>
          </w:p>
        </w:tc>
      </w:tr>
      <w:tr>
        <w:tc>
          <w:tcPr>
            <w:tcW w:w="3000" w:type="dxa"/>
            <w:shd w:val="clear" w:fill="f5f5f5"/>
          </w:tcPr>
          <w:p>
            <w:pPr>
              <w:spacing w:before="40" w:after="40"/>
            </w:pPr>
            <w:r>
              <w:rPr>
                <w:color w:val="2b2b2b"/>
                <w:sz w:val="20"/>
              </w:rPr>
              <w:t>Published</w:t>
            </w:r>
          </w:p>
        </w:tc>
        <w:tc>
          <w:tcPr>
            <w:tcW w:w="6000" w:type="dxa"/>
            <w:shd w:val="clear" w:fill="f5f5f5"/>
          </w:tcPr>
          <w:p>
            <w:pPr>
              <w:spacing w:before="40" w:after="40"/>
            </w:pPr>
            <w:r>
              <w:rPr>
                <w:color w:val="2b2b2b"/>
                <w:sz w:val="20"/>
              </w:rPr>
              <w:t>April 20, 2026</w:t>
            </w:r>
          </w:p>
        </w:tc>
      </w:tr>
      <w:tr>
        <w:tc>
          <w:tcPr>
            <w:tcW w:w="3000" w:type="dxa"/>
          </w:tcPr>
          <w:p>
            <w:pPr>
              <w:spacing w:before="40" w:after="40"/>
            </w:pPr>
            <w:r>
              <w:rPr>
                <w:color w:val="2b2b2b"/>
                <w:sz w:val="20"/>
              </w:rPr>
              <w:t>Next Review</w:t>
            </w:r>
          </w:p>
        </w:tc>
        <w:tc>
          <w:tcPr>
            <w:tcW w:w="6000" w:type="dxa"/>
          </w:tcPr>
          <w:p>
            <w:pPr>
              <w:spacing w:before="40" w:after="40"/>
            </w:pPr>
            <w:r>
              <w:rPr>
                <w:color w:val="2b2b2b"/>
                <w:sz w:val="20"/>
              </w:rPr>
              <w:t>October 20, 2026</w:t>
            </w:r>
          </w:p>
        </w:tc>
      </w:tr>
      <w:tr>
        <w:tc>
          <w:tcPr>
            <w:tcW w:w="3000" w:type="dxa"/>
            <w:shd w:val="clear" w:fill="f5f5f5"/>
          </w:tcPr>
          <w:p>
            <w:pPr>
              <w:spacing w:before="40" w:after="40"/>
            </w:pPr>
            <w:r>
              <w:rPr>
                <w:color w:val="2b2b2b"/>
                <w:sz w:val="20"/>
              </w:rPr>
              <w:t>Reading Level</w:t>
            </w:r>
          </w:p>
        </w:tc>
        <w:tc>
          <w:tcPr>
            <w:tcW w:w="6000" w:type="dxa"/>
            <w:shd w:val="clear" w:fill="f5f5f5"/>
          </w:tcPr>
          <w:p>
            <w:pPr>
              <w:spacing w:before="40" w:after="40"/>
            </w:pPr>
            <w:r>
              <w:rPr>
                <w:color w:val="2b2b2b"/>
                <w:sz w:val="20"/>
              </w:rPr>
              <w:t>8th grade</w:t>
            </w:r>
          </w:p>
        </w:tc>
      </w:tr>
      <w:tr>
        <w:tc>
          <w:tcPr>
            <w:tcW w:w="3000" w:type="dxa"/>
          </w:tcPr>
          <w:p>
            <w:pPr>
              <w:spacing w:before="40" w:after="40"/>
            </w:pPr>
            <w:r>
              <w:rPr>
                <w:color w:val="2b2b2b"/>
                <w:sz w:val="20"/>
              </w:rPr>
              <w:t>Prepared By</w:t>
            </w:r>
          </w:p>
        </w:tc>
        <w:tc>
          <w:tcPr>
            <w:tcW w:w="6000" w:type="dxa"/>
          </w:tcPr>
          <w:p>
            <w:pPr>
              <w:spacing w:before="40" w:after="40"/>
            </w:pPr>
            <w:r>
              <w:rPr>
                <w:color w:val="2b2b2b"/>
                <w:sz w:val="20"/>
              </w:rPr>
              <w:t>Just Legal Solutions — Joseph Iannazzi, NAPPS #14801</w:t>
            </w:r>
          </w:p>
        </w:tc>
      </w:tr>
    </w:tbl>
    <w:p>
      <w:pPr>
        <w:pStyle w:val="Heading2"/>
      </w:pPr>
      <w:r>
        <w:t>Contact Information</w:t>
      </w:r>
    </w:p>
    <w:p>
      <w:pPr>
        <w:spacing w:after="160"/>
      </w:pPr>
      <w:r>
        <w:t>For questions about process serving in Oklahoma:</w:t>
      </w:r>
    </w:p>
    <w:p>
      <w:pPr>
        <w:spacing w:after="160"/>
      </w:pPr>
      <w:r>
        <w:rPr>
          <w:b/>
        </w:rPr>
        <w:t xml:space="preserve">Phone: </w:t>
      </w:r>
      <w:r>
        <w:t xml:space="preserve">(539) 367-6832</w:t>
      </w:r>
    </w:p>
    <w:p>
      <w:pPr>
        <w:spacing w:after="160"/>
      </w:pPr>
      <w:r>
        <w:rPr>
          <w:b/>
        </w:rPr>
        <w:t xml:space="preserve">Email: </w:t>
      </w:r>
      <w:r>
        <w:t xml:space="preserve">info@JustLegalSolutions.org</w:t>
      </w:r>
    </w:p>
    <w:p>
      <w:pPr>
        <w:spacing w:after="160"/>
      </w:pPr>
      <w:r>
        <w:rPr>
          <w:b/>
        </w:rPr>
        <w:t xml:space="preserve">Website: </w:t>
      </w:r>
      <w:r>
        <w:t xml:space="preserve">justlegalsolutions.org</w:t>
      </w:r>
    </w:p>
    <w:p>
      <w:pPr>
        <w:spacing w:after="160"/>
      </w:pPr>
      <w:r>
        <w:rPr>
          <w:b/>
        </w:rPr>
        <w:t xml:space="preserve">NAPPS Member: </w:t>
      </w:r>
      <w:r>
        <w:t xml:space="preserve">Joseph Iannazzi, Member ID 14801</w:t>
      </w:r>
    </w:p>
    <w:p>
      <w:pPr>
        <w:spacing w:before="400"/>
      </w:pPr>
      <w:r>
        <w:rPr>
          <w:color w:val="888888"/>
          <w:sz w:val="18"/>
        </w:rPr>
        <w:t>© 2026 Just Legal Solutions. All rights reserved. This guide may be shared freely for educational purposes.</w:t>
      </w:r>
    </w:p>
    <w:sectPr>
      <w:headerReference w:type="default" r:id="Ref06033d6fd44e53"/>
      <w:footerReference w:type="default" r:id="Rd21d83bed90f427b"/>
      <w:pgSz w:w="12240" w:h="15840"/>
      <w:pgMar w:top="1440" w:right="1440" w:bottom="1440" w:left="1440" w:header="720" w:footer="720"/>
    </w:sectPr>
  </w:body>
</w:document>
</file>

<file path=word/footer1.xml><?xml version="1.0" encoding="utf-8"?>
<w:ftr xmlns:w="http://schemas.openxmlformats.org/wordprocessingml/2006/main">
  <w:p>
    <w:pPr>
      <w:jc w:val="center"/>
    </w:pPr>
    <w:r>
      <w:rPr>
        <w:color w:val="888888"/>
        <w:sz w:val="14"/>
      </w:rPr>
      <w:t xml:space="preserve">Just Legal Solutions · (539) 367-6832 · info@JustLegalSolutions.org · justlegalsolutions.org · Joseph Iannazzi, NAPPS #14801</w:t>
    </w:r>
    <w:r>
      <w:t xml:space="preserve">  |  </w:t>
    </w:r>
    <w:r>
      <w:rPr>
        <w:color w:val="888888"/>
        <w:sz w:val="14"/>
      </w:rPr>
      <w:t xml:space="preserve">v1.0 · 2026-04-20 · Review by 2026-10-20</w:t>
    </w:r>
    <w:r>
      <w:rPr>
        <w:color w:val="888888"/>
        <w:sz w:val="14"/>
      </w:rPr>
      <w:t xml:space="preserve">  |  Page </w:t>
    </w:r>
    <w:r>
      <w:rPr>
        <w:color w:val="888888"/>
        <w:sz w:val="14"/>
      </w:rPr>
      <w:fldChar w:fldCharType="begin"/>
    </w:r>
    <w:r>
      <w:rPr>
        <w:color w:val="888888"/>
        <w:sz w:val="14"/>
      </w:rPr>
      <w:instrText xml:space="preserve"> PAGE </w:instrText>
    </w:r>
    <w:r>
      <w:rPr>
        <w:color w:val="888888"/>
        <w:sz w:val="14"/>
      </w:rPr>
      <w:fldChar w:fldCharType="separate"/>
    </w:r>
    <w:r>
      <w:rPr>
        <w:color w:val="888888"/>
        <w:sz w:val="14"/>
      </w:rPr>
      <w:t>1</w:t>
    </w:r>
    <w:r>
      <w:rPr>
        <w:color w:val="888888"/>
        <w:sz w:val="14"/>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jc w:val="right"/>
    </w:pPr>
    <w:r>
      <w:rPr>
        <w:sz w:val="16"/>
      </w:rPr>
      <w:drawing>
        <wp:inline distT="0" distB="0" distL="0" distR="0">
          <wp:extent cx="1371600" cy="457200"/>
          <wp:effectExtent l="0" t="0" r="0" b="0"/>
          <wp:docPr id="1" name="JLSLogo"/>
          <wp:cNvGraphicFramePr>
            <a:graphicFrameLocks noChangeAspect="1"/>
          </wp:cNvGraphicFramePr>
          <a:graphic>
            <a:graphicData uri="http://schemas.openxmlformats.org/drawingml/2006/picture">
              <pic:pic>
                <pic:nvPicPr>
                  <pic:cNvPr id="0" name="JLS-Logo.png"/>
                  <pic:cNvPicPr/>
                </pic:nvPicPr>
                <pic:blipFill>
                  <a:blip r:embed="Rb4d43e45c5ad45c8"/>
                  <a:stretch>
                    <a:fillRect/>
                  </a:stretch>
                </pic:blipFill>
                <pic:spPr>
                  <a:xfrm>
                    <a:off x="0" y="0"/>
                    <a:ext cx="1371600" cy="457200"/>
                  </a:xfrm>
                  <a:prstGeom prst="rect"/>
                </pic:spPr>
              </pic:pic>
            </a:graphicData>
          </a:graphic>
        </wp:inline>
      </w:drawing>
    </w:r>
    <w:r>
      <w:rPr>
        <w:color w:val="888888"/>
        <w:sz w:val="16"/>
      </w:rPr>
      <w:t xml:space="preserve">  FDCPA Compliance Guide | Just Legal Solutions</w:t>
    </w:r>
  </w:p>
</w:hdr>
</file>

<file path=word/numbering.xml><?xml version="1.0" encoding="utf-8"?>
<w:numbering xmlns:w="http://schemas.openxmlformats.org/wordprocessingml/2006/main">
  <w:abstractNum w:abstractNumId="1">
    <w:lvl w:ilvl="0">
      <w:numFmt w:val="bullet"/>
      <w:lvlText w:val="☐"/>
      <w:lvlJc w:val="left"/>
      <w:pPr>
        <w:ind w:left="720" w:hanging="360"/>
      </w:pPr>
    </w:lvl>
  </w:abstractNum>
  <w:num w:numId="1">
    <w:abstractNumId w:val="1"/>
  </w:num>
</w:numbering>
</file>

<file path=word/settings.xml><?xml version="1.0" encoding="utf-8"?>
<w:settings xmlns:w="http://schemas.openxmlformats.org/wordprocessingml/2006/main">
  <w:displayBackgroundShape/>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eastAsia="Calibri"/>
      <w:color w:val="2b2b2b"/>
      <w:sz w:val="22"/>
    </w:rPr>
  </w:style>
  <w:style w:type="paragraph" w:styleId="Heading1">
    <w:name w:val="heading 1"/>
    <w:basedOn w:val="Normal"/>
    <w:pPr>
      <w:keepNext/>
      <w:keepLines/>
      <w:spacing w:before="360" w:after="120"/>
      <w:outlineLvl w:val="0"/>
    </w:pPr>
    <w:rPr>
      <w:b/>
      <w:color w:val="1a2744"/>
      <w:sz w:val="32"/>
    </w:rPr>
  </w:style>
  <w:style w:type="paragraph" w:styleId="Heading2">
    <w:name w:val="heading 2"/>
    <w:basedOn w:val="Normal"/>
    <w:pPr>
      <w:keepNext/>
      <w:keepLines/>
      <w:spacing w:before="280" w:after="80"/>
      <w:outlineLvl w:val="1"/>
    </w:pPr>
    <w:rPr>
      <w:b/>
      <w:color w:val="1a2744"/>
      <w:sz w:val="26"/>
    </w:rPr>
  </w:style>
  <w:style w:type="paragraph" w:styleId="Heading3">
    <w:name w:val="heading 3"/>
    <w:basedOn w:val="Normal"/>
    <w:pPr>
      <w:keepNext/>
      <w:keepLines/>
      <w:spacing w:before="200" w:after="60"/>
      <w:outlineLvl w:val="2"/>
    </w:pPr>
    <w:rPr>
      <w:b/>
      <w:color w:val="555555"/>
      <w:sz w:val="24"/>
    </w:rPr>
  </w:style>
  <w:style w:type="paragraph" w:styleId="TOC1">
    <w:name w:val="toc 1"/>
    <w:basedOn w:val="Normal"/>
    <w:pPr>
      <w:tabs>
        <w:tab w:val="right" w:leader="dot" w:pos="9350"/>
      </w:tabs>
      <w:spacing w:before="120" w:after="40"/>
    </w:pPr>
    <w:rPr>
      <w:b/>
      <w:color w:val="2b2b2b"/>
    </w:rPr>
  </w:style>
  <w:style w:type="paragraph" w:styleId="TOC2">
    <w:name w:val="toc 2"/>
    <w:basedOn w:val="Normal"/>
    <w:pPr>
      <w:tabs>
        <w:tab w:val="right" w:leader="dot" w:pos="9350"/>
      </w:tabs>
      <w:spacing w:before="40" w:after="20"/>
      <w:ind w:left="360"/>
    </w:pPr>
    <w:rPr>
      <w:color w:val="555555"/>
    </w:rPr>
  </w:style>
</w:styles>
</file>

<file path=word/_rels/document.xml.rels><?xml version='1.0' encoding='UTF-8'?>
<Relationships xmlns="http://schemas.openxmlformats.org/package/2006/relationships"><Relationship Type="http://schemas.openxmlformats.org/officeDocument/2006/relationships/styles" Target="styles.xml" Id="R6aa9f83b8cd94143" /><Relationship Type="http://schemas.openxmlformats.org/officeDocument/2006/relationships/numbering" Target="numbering.xml" Id="R7213da8a423a4326" /><Relationship Type="http://schemas.openxmlformats.org/officeDocument/2006/relationships/header" Target="header1.xml" Id="Ref06033d6fd44e53" /><Relationship Type="http://schemas.openxmlformats.org/officeDocument/2006/relationships/footer" Target="footer1.xml" Id="Rd21d83bed90f427b" /><Relationship Type="http://schemas.openxmlformats.org/officeDocument/2006/relationships/settings" Target="settings.xml" Id="R6fcf09a56d4b4aba" /></Relationships>
</file>

<file path=word/_rels/header1.xml.rels><?xml version='1.0' encoding='UTF-8'?>
<Relationships xmlns="http://schemas.openxmlformats.org/package/2006/relationships"><Relationship Type="http://schemas.openxmlformats.org/officeDocument/2006/relationships/image" Target="media/image.png" Id="Rb4d43e45c5ad45c8" /></Relationships>
</file>