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'1.0' encoding='UTF-8'?>
<Relationships xmlns="http://schemas.openxmlformats.org/package/2006/relationships"><Relationship Type="http://schemas.openxmlformats.org/officeDocument/2006/relationships/officeDocument" Target="word/document.xml" Id="Rf3f3b355090542dd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Title"/>
        <w:spacing w:before="0" w:after="80"/>
        <w:ind w:firstLine="0"/>
        <w:jc w:val="center"/>
      </w:pPr>
      <w:r>
        <w:rPr>
          <w:rFonts w:ascii="Calibri" w:hAnsi="Calibri"/>
          <w:color w:val="1a1a1a"/>
          <w:sz w:val="18"/>
        </w:rPr>
        <w:t xml:space="preserve">Attorney Quick Reference</w:t>
      </w:r>
    </w:p>
    <w:p>
      <w:pPr>
        <w:pStyle w:val="Subtitle"/>
        <w:spacing w:before="0" w:after="120"/>
        <w:ind w:firstLine="0"/>
        <w:jc w:val="center"/>
      </w:pPr>
      <w:r>
        <w:rPr>
          <w:rFonts w:ascii="Calibri" w:hAnsi="Calibri"/>
          <w:color w:val="1a1a1a"/>
          <w:sz w:val="18"/>
        </w:rPr>
        <w:t xml:space="preserve">Oklahoma Service of Process</w:t>
      </w:r>
    </w:p>
    <w:p>
      <w:pPr>
        <w:pStyle w:val="CaptionText"/>
        <w:spacing w:before="0" w:after="200"/>
        <w:ind w:firstLine="0"/>
        <w:jc w:val="center"/>
      </w:pPr>
      <w:r>
        <w:rPr>
          <w:rFonts w:ascii="Calibri" w:hAnsi="Calibri"/>
          <w:color w:val="1a1a1a"/>
          <w:sz w:val="18"/>
        </w:rPr>
        <w:t xml:space="preserve">v1.0 | April 20, 2026 | Verify before relying on procedural details</w:t>
      </w:r>
    </w:p>
    <w:p>
      <w:pPr>
        <w:pStyle w:val="Heading1"/>
        <w:ind w:left="80" w:right="80" w:firstLine="0"/>
      </w:pPr>
      <w:r>
        <w:t xml:space="preserve"> 1. Key Statutes Quick Reference </w:t>
      </w:r>
    </w:p>
    <w:tbl>
      <w:tblPr>
        <w:tblW w:w="5000" w:type="pct"/>
        <w:tblBorders>
          <w:top w:val="single" w:color="1a2744" w:sz="8"/>
          <w:left w:val="nil"/>
          <w:bottom w:val="single" w:color="1a2744" w:sz="8"/>
          <w:right w:val="nil"/>
          <w:insideH w:val="single" w:color="cccccc" w:sz="4"/>
          <w:insideV w:val="nil"/>
        </w:tblBorders>
        <w:tblCellMar>
          <w:top w:w="40" w:type="dxa"/>
          <w:left w:w="80" w:type="dxa"/>
          <w:bottom w:w="40" w:type="dxa"/>
          <w:right w:w="80" w:type="dxa"/>
        </w:tblCellMar>
      </w:tblPr>
      <w:tblGrid>
        <w:gridCol w:w="1800"/>
        <w:gridCol w:w="2800"/>
        <w:gridCol w:w="5400"/>
      </w:tblGrid>
      <w:tr>
        <w:trPr>
          <w:tblHeader/>
        </w:trPr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Statute</w:t>
            </w:r>
          </w:p>
        </w:tc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Topic</w:t>
            </w:r>
          </w:p>
        </w:tc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Key Provision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12 O.S. § 2004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Process - Summons, service methods, time limits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Issuance upon filing; personal service, mail, publication; 180-day service deadline; proof by affidavit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12 O.S. § 2004.1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Subpoena service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Any person 18+ may serve subpoena; certified mail with return receipt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12 O.S. § 2004.3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Alternate delivery methods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Commercial courier, overnight delivery, other reliable personal delivery with written/electronic receipt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12 O.S. § 2005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Service of pleadings and papers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All subsequent pleadings, discovery, motions must be served; mail/commercial carrier/electronic with consent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12 O.S. § 158.1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Private process server licensing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Age 18+, good moral character, 6-month OK residency, $150 fee, $5,000 bond, statewide authority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12 O.S. § 2005.1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Post-judgment motions in divorce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Must be served per 12 O.S. § 2004(C) (summons service methods)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12 O.S. § 1148.4
12 O.S. § 1148.5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FED (forcible entry &amp; detainer)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Trial 5-15 days after summons; service 3-7 days before trial (SB 128, 2025); posting + certified mail if personal service fails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12 O.S. §§ 3250-3257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UIDDA (interstate discovery)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Effective Nov. 1, 2021; submit foreign subpoena to OK clerk for issuance of local subpoena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50 U.S.C. § 3931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SCRA - default judgments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Military affidavit required before default judgment; DMDC verification at scra.dmdc.osd.mil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Okla. Dist. Ct. Rule 2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Service and proof of service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20-day answer deadline; proof states name served, date, place, method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Okla. Dist. Ct. Rule 2.1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Electronic filing &amp; service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E-filing authorized; e-service by consent; includes email as 'mail'</w:t>
            </w:r>
          </w:p>
        </w:tc>
      </w:tr>
    </w:tbl>
    <w:p>
      <w:pPr>
        <w:pStyle w:val="Heading1"/>
        <w:ind w:left="80" w:right="80" w:firstLine="0"/>
      </w:pPr>
      <w:r>
        <w:t xml:space="preserve"> 2. Deadlines at a Glance </w:t>
      </w:r>
    </w:p>
    <w:tbl>
      <w:tblPr>
        <w:tblW w:w="5000" w:type="pct"/>
        <w:tblBorders>
          <w:top w:val="single" w:color="1a2744" w:sz="8"/>
          <w:left w:val="nil"/>
          <w:bottom w:val="single" w:color="1a2744" w:sz="8"/>
          <w:right w:val="nil"/>
          <w:insideH w:val="single" w:color="cccccc" w:sz="4"/>
          <w:insideV w:val="nil"/>
        </w:tblBorders>
        <w:tblCellMar>
          <w:top w:w="40" w:type="dxa"/>
          <w:left w:w="80" w:type="dxa"/>
          <w:bottom w:w="40" w:type="dxa"/>
          <w:right w:w="80" w:type="dxa"/>
        </w:tblCellMar>
      </w:tblPr>
      <w:tblGrid>
        <w:gridCol w:w="2200"/>
        <w:gridCol w:w="2000"/>
        <w:gridCol w:w="2600"/>
        <w:gridCol w:w="2200"/>
      </w:tblGrid>
      <w:tr>
        <w:trPr>
          <w:tblHeader/>
        </w:trPr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Deadline</w:t>
            </w:r>
          </w:p>
        </w:tc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Statute/Rule</w:t>
            </w:r>
          </w:p>
        </w:tc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Trigger</w:t>
            </w:r>
          </w:p>
        </w:tc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Extension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180 days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12 O.S. § 2004(I)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Service of process after petition filed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Good cause shown to court; action deemed dismissed without prejudice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20 days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Dist. Ct. Rule 2(b)(i)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Defendant answer after service of process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Motion to dismiss or other motion extends time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Promptly / within response time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12 O.S. § 2004(G)(1)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Proof of service due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Failure does not affect validity of service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3 days after filing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12 O.S. § 2004(G)(2)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Court clerk sends copy of return to plaintiff's attorney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N/A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200 days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12 O.S. § 2004(I)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Court must dismiss if no service on any defendant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Court order on own motion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90 days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FRCP Rule 4(m)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Federal court service deadline (contrast)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Good cause extends; dismiss without prejudice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3 consecutive weeks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12 O.S. § 2004(C)(3)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Publication service - 1 day/week for 3 weeks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N/A - statutory minimum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Per statute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12 O.S. § 2005(D)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Post-petition papers filed before or within reasonable time after service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Statement of names served + date/place/method required</w:t>
            </w:r>
          </w:p>
        </w:tc>
      </w:tr>
    </w:tbl>
    <w:p>
      <w:pPr>
        <w:pStyle w:val="Heading1"/>
        <w:ind w:left="80" w:right="80" w:firstLine="0"/>
      </w:pPr>
      <w:r>
        <w:t xml:space="preserve"> 3. Service Methods Matrix </w:t>
      </w:r>
    </w:p>
    <w:tbl>
      <w:tblPr>
        <w:tblW w:w="5000" w:type="pct"/>
        <w:tblBorders>
          <w:top w:val="single" w:color="1a2744" w:sz="8"/>
          <w:left w:val="nil"/>
          <w:bottom w:val="single" w:color="1a2744" w:sz="8"/>
          <w:right w:val="nil"/>
          <w:insideH w:val="single" w:color="cccccc" w:sz="4"/>
          <w:insideV w:val="nil"/>
        </w:tblBorders>
        <w:tblCellMar>
          <w:top w:w="40" w:type="dxa"/>
          <w:left w:w="80" w:type="dxa"/>
          <w:bottom w:w="40" w:type="dxa"/>
          <w:right w:w="80" w:type="dxa"/>
        </w:tblCellMar>
      </w:tblPr>
      <w:tblGrid>
        <w:gridCol w:w="1600"/>
        <w:gridCol w:w="2600"/>
        <w:gridCol w:w="1400"/>
        <w:gridCol w:w="3400"/>
      </w:tblGrid>
      <w:tr>
        <w:trPr>
          <w:tblHeader/>
        </w:trPr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Method</w:t>
            </w:r>
          </w:p>
        </w:tc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When to Use</w:t>
            </w:r>
          </w:p>
        </w:tc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Cost</w:t>
            </w:r>
          </w:p>
        </w:tc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Pros / Cons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Personal Delivery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Primary method; individual service at home, work, or public place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$50-$100+ (private server); $50 in-county sheriff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Most reliable; establishes personal jurisdiction; requires locate effort / Cost varies by county and server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Certified Mail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When defendant address known; cooperative defendant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$10 via clerk; higher if attorney-handled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Low cost; documented receipt / Refusal = effective service; cannot serve evasive defendant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Publication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Due diligence fails; cannot locate defendant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Newspaper rates vary; ~$50-$200 typical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Last resort; satisfies statutory requirement / Jurisdiction limited to relief sought; no money judgment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Substituted (Dwelling)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Leave copy at dwelling with person 15+ residing therein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Same as personal delivery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Equivalent to personal service / Must verify age and residency of recipient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Commercial Courier / Overnight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12 O.S. § 2004.3 alternate delivery; written/electronic receipt required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$15-$50 depending on carrier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Faster than certified mail; tracking available / Addressee must sign receipt</w:t>
            </w:r>
          </w:p>
        </w:tc>
      </w:tr>
    </w:tbl>
    <w:p>
      <w:pPr>
        <w:pStyle w:val="Heading1"/>
        <w:ind w:left="80" w:right="80" w:firstLine="0"/>
      </w:pPr>
      <w:r>
        <w:t xml:space="preserve"> 4. Who Can Serve Process </w:t>
      </w:r>
    </w:p>
    <w:tbl>
      <w:tblPr>
        <w:tblW w:w="5000" w:type="pct"/>
        <w:tblBorders>
          <w:top w:val="single" w:color="1a2744" w:sz="8"/>
          <w:left w:val="nil"/>
          <w:bottom w:val="single" w:color="1a2744" w:sz="8"/>
          <w:right w:val="nil"/>
          <w:insideH w:val="single" w:color="cccccc" w:sz="4"/>
          <w:insideV w:val="nil"/>
        </w:tblBorders>
        <w:tblCellMar>
          <w:top w:w="40" w:type="dxa"/>
          <w:left w:w="80" w:type="dxa"/>
          <w:bottom w:w="40" w:type="dxa"/>
          <w:right w:w="80" w:type="dxa"/>
        </w:tblCellMar>
      </w:tblPr>
      <w:tblGrid>
        <w:gridCol w:w="2200"/>
        <w:gridCol w:w="2400"/>
        <w:gridCol w:w="1600"/>
        <w:gridCol w:w="2800"/>
      </w:tblGrid>
      <w:tr>
        <w:trPr>
          <w:tblHeader/>
        </w:trPr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Server Type</w:t>
            </w:r>
          </w:p>
        </w:tc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License Required</w:t>
            </w:r>
          </w:p>
        </w:tc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Cost</w:t>
            </w:r>
          </w:p>
        </w:tc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Best For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Sheriff / Deputy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No (elected office)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$50 in-county; $60 out-of-county (typical)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Routine service; court-familiar; affordable for in-county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Licensed Private Process Server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Yes - 12 O.S. § 158.1 statewide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$150 license + $5,000 bond; ~$50-$150 per serve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Speed; flexibility; skip-tracing; multiple attempts; rush service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Specially Appointed Person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Court appointment per 12 O.S. § 2004(C)(1)(a)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Fee set by court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Unique circumstances; court discretion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Any Person 18+ (Subpoenas)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No - 12 O.S. § 2004.1(B)(1)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Free if self/paralegal; mileage + day's fees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Subpoenas only; cost-effective for in-house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Attorney / Staff (Pleadings)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Bar license for attorney; 18+ for staff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No additional fee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Post-petition pleadings, motions, discovery per 12 O.S. § 2005</w:t>
            </w:r>
          </w:p>
        </w:tc>
      </w:tr>
    </w:tbl>
    <w:p>
      <w:pPr>
        <w:pStyle w:val="Heading1"/>
        <w:ind w:left="80" w:right="80" w:firstLine="0"/>
      </w:pPr>
      <w:r>
        <w:t xml:space="preserve"> 5. Process Server Designation Requirements </w:t>
      </w:r>
    </w:p>
    <w:p>
      <w:pPr>
        <w:spacing w:before="60" w:after="60" w:line="264" w:lineRule="auto"/>
        <w:ind w:firstLine="0"/>
      </w:pPr>
      <w:r>
        <w:rPr>
          <w:b/>
          <w:color w:val="1a2744"/>
          <w:sz w:val="16"/>
        </w:rPr>
        <w:t xml:space="preserve">Tulsa County Rule 17 Requirements:</w:t>
      </w:r>
      <w:r>
        <w:rPr>
          <w:sz w:val="15"/>
        </w:rPr>
        <w:br/>
        <w:t xml:space="preserve">• Designate process server on face of summons or order with name and license number</w:t>
      </w:r>
      <w:r>
        <w:rPr>
          <w:sz w:val="15"/>
        </w:rPr>
        <w:br/>
        <w:t xml:space="preserve">• Sign the designation as attorney of record</w:t>
      </w:r>
      <w:r>
        <w:rPr>
          <w:sz w:val="15"/>
        </w:rPr>
        <w:br/>
        <w:t xml:space="preserve">• Server must carry license at all times; badges prohibited</w:t>
      </w:r>
      <w:r>
        <w:rPr>
          <w:sz w:val="15"/>
        </w:rPr>
        <w:br/>
        <w:t xml:space="preserve">• Server must show license and identify self as process server when serving</w:t>
      </w:r>
      <w:r>
        <w:rPr>
          <w:sz w:val="15"/>
        </w:rPr>
        <w:br/>
        <w:t xml:space="preserve">• Weapons prohibited unless officer commission or concealed carry certification</w:t>
      </w:r>
      <w:r>
        <w:rPr>
          <w:b/>
          <w:color w:val="1a2744"/>
          <w:sz w:val="16"/>
        </w:rPr>
        <w:br/>
        <w:t xml:space="preserve">Statewide vs. County-Specific:</w:t>
      </w:r>
      <w:r>
        <w:rPr>
          <w:sz w:val="15"/>
        </w:rPr>
        <w:br/>
        <w:t xml:space="preserve">• Statewide license ($150): valid in all 77 counties; issued under 12 O.S. § 158.1</w:t>
      </w:r>
      <w:r>
        <w:rPr>
          <w:sz w:val="15"/>
        </w:rPr>
        <w:br/>
        <w:t xml:space="preserve">• County license: limited to issuing county; lower fee but restricted jurisdiction</w:t>
      </w:r>
      <w:r>
        <w:rPr>
          <w:sz w:val="15"/>
        </w:rPr>
        <w:br/>
        <w:t xml:space="preserve">• Verify current license via AOC statewide registry before designating server</w:t>
      </w:r>
      <w:r>
        <w:rPr>
          <w:b/>
          <w:color w:val="1a2744"/>
          <w:sz w:val="16"/>
        </w:rPr>
        <w:br/>
        <w:t xml:space="preserve">Licensing Requirements (12 O.S. § 158.1):</w:t>
      </w:r>
      <w:r>
        <w:rPr>
          <w:sz w:val="15"/>
        </w:rPr>
        <w:br/>
        <w:t xml:space="preserve">Age 18+ | OK resident 6+ months | County resident 30+ days | Good moral character | $5,000 bond | No violent felony convictions</w:t>
      </w:r>
      <w:r>
        <w:rPr>
          <w:sz w:val="15"/>
        </w:rPr>
        <w:br/>
        <w:t xml:space="preserve">Initial license: 1 year | Renewal: 3 years at $15 per renewal | Revocation: 5-year bar, $1,000 fee if once revoked, permanent after second revocation</w:t>
      </w:r>
    </w:p>
    <w:p>
      <w:pPr>
        <w:pStyle w:val="Heading1"/>
        <w:ind w:left="80" w:right="80" w:firstLine="0"/>
      </w:pPr>
      <w:r>
        <w:t xml:space="preserve"> 6. Special Situations Checklist </w:t>
      </w:r>
    </w:p>
    <w:tbl>
      <w:tblPr>
        <w:tblW w:w="5000" w:type="pct"/>
        <w:tblBorders>
          <w:top w:val="single" w:color="1a2744" w:sz="8"/>
          <w:left w:val="nil"/>
          <w:bottom w:val="single" w:color="1a2744" w:sz="8"/>
          <w:right w:val="nil"/>
          <w:insideH w:val="single" w:color="cccccc" w:sz="4"/>
          <w:insideV w:val="nil"/>
        </w:tblBorders>
        <w:tblCellMar>
          <w:top w:w="40" w:type="dxa"/>
          <w:left w:w="80" w:type="dxa"/>
          <w:bottom w:w="40" w:type="dxa"/>
          <w:right w:w="80" w:type="dxa"/>
        </w:tblCellMar>
      </w:tblPr>
      <w:tblGrid>
        <w:gridCol w:w="400"/>
        <w:gridCol w:w="4600"/>
        <w:gridCol w:w="5000"/>
      </w:tblGrid>
      <w:tr>
        <w:trPr>
          <w:tblHeader/>
        </w:trPr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/>
            </w:r>
          </w:p>
        </w:tc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Situation</w:t>
            </w:r>
          </w:p>
        </w:tc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Requirements / Notes</w:t>
            </w:r>
          </w:p>
        </w:tc>
      </w:tr>
      <w:tr>
        <w:tc>
          <w:tcPr>
            <w:tcW w:w="400" w:type="dxa"/>
          </w:tcPr>
          <w:p>
            <w:pPr>
              <w:spacing w:before="40" w:after="40"/>
              <w:jc w:val="center"/>
            </w:pPr>
            <w:r>
              <w:rPr>
                <w:color w:val="1a2744"/>
                <w:sz w:val="20"/>
              </w:rPr>
              <w:t xml:space="preserve">☐</w:t>
            </w:r>
          </w:p>
        </w:tc>
        <w:tc>
          <w:tcPr>
            <w:tcW w:w="4600" w:type="dxa"/>
          </w:tcPr>
          <w:p>
            <w:pPr>
              <w:spacing w:before="40" w:after="40" w:line="240" w:lineRule="auto"/>
              <w:ind w:firstLine="0"/>
            </w:pPr>
            <w:r>
              <w:rPr>
                <w:b/>
                <w:color w:val="1a2744"/>
                <w:sz w:val="14"/>
              </w:rPr>
              <w:t xml:space="preserve">Military Defendant</w:t>
            </w:r>
          </w:p>
        </w:tc>
        <w:tc>
          <w:tcPr>
            <w:tcW w:w="5000" w:type="dxa"/>
          </w:tcPr>
          <w:p>
            <w:pPr>
              <w:spacing w:before="40" w:after="40" w:line="240" w:lineRule="auto"/>
              <w:ind w:firstLine="0"/>
            </w:pPr>
            <w:r>
              <w:rPr>
                <w:color w:val="1a1a1a"/>
                <w:sz w:val="13"/>
              </w:rPr>
              <w:t xml:space="preserve">SCRA affidavit required before default judgment (50 U.S.C. § 3931(b)(1)). Verify status via DMDC (scra.dmdc.osd.mil). If active duty: court must appoint attorney; minimum 90-day stay. If status unknown: may require bond.</w:t>
            </w:r>
          </w:p>
        </w:tc>
      </w:tr>
      <w:tr>
        <w:tc>
          <w:tcPr>
            <w:tcW w:w="400" w:type="dxa"/>
          </w:tcPr>
          <w:p>
            <w:pPr>
              <w:spacing w:before="40" w:after="40"/>
              <w:jc w:val="center"/>
            </w:pPr>
            <w:r>
              <w:rPr>
                <w:color w:val="1a2744"/>
                <w:sz w:val="20"/>
              </w:rPr>
              <w:t xml:space="preserve">☐</w:t>
            </w:r>
          </w:p>
        </w:tc>
        <w:tc>
          <w:tcPr>
            <w:tcW w:w="4600" w:type="dxa"/>
          </w:tcPr>
          <w:p>
            <w:pPr>
              <w:spacing w:before="40" w:after="40" w:line="240" w:lineRule="auto"/>
              <w:ind w:firstLine="0"/>
            </w:pPr>
            <w:r>
              <w:rPr>
                <w:b/>
                <w:color w:val="1a2744"/>
                <w:sz w:val="14"/>
              </w:rPr>
              <w:t xml:space="preserve">Out-of-State Defendant</w:t>
            </w:r>
          </w:p>
        </w:tc>
        <w:tc>
          <w:tcPr>
            <w:tcW w:w="5000" w:type="dxa"/>
          </w:tcPr>
          <w:p>
            <w:pPr>
              <w:spacing w:before="40" w:after="40" w:line="240" w:lineRule="auto"/>
              <w:ind w:firstLine="0"/>
            </w:pPr>
            <w:r>
              <w:rPr>
                <w:color w:val="1a1a1a"/>
                <w:sz w:val="13"/>
              </w:rPr>
              <w:t xml:space="preserve">UIDDA (12 O.S. §§ 3250-3257) for discovery subpoenas. For service of summons: long-arm statute or service in defendant's home state per FRCP/foreign state rules. Foreign subpoena to OK clerk for local issuance.</w:t>
            </w:r>
          </w:p>
        </w:tc>
      </w:tr>
      <w:tr>
        <w:tc>
          <w:tcPr>
            <w:tcW w:w="400" w:type="dxa"/>
          </w:tcPr>
          <w:p>
            <w:pPr>
              <w:spacing w:before="40" w:after="40"/>
              <w:jc w:val="center"/>
            </w:pPr>
            <w:r>
              <w:rPr>
                <w:color w:val="1a2744"/>
                <w:sz w:val="20"/>
              </w:rPr>
              <w:t xml:space="preserve">☐</w:t>
            </w:r>
          </w:p>
        </w:tc>
        <w:tc>
          <w:tcPr>
            <w:tcW w:w="4600" w:type="dxa"/>
          </w:tcPr>
          <w:p>
            <w:pPr>
              <w:spacing w:before="40" w:after="40" w:line="240" w:lineRule="auto"/>
              <w:ind w:firstLine="0"/>
            </w:pPr>
            <w:r>
              <w:rPr>
                <w:b/>
                <w:color w:val="1a2744"/>
                <w:sz w:val="14"/>
              </w:rPr>
              <w:t xml:space="preserve">Minor Defendant</w:t>
            </w:r>
          </w:p>
        </w:tc>
        <w:tc>
          <w:tcPr>
            <w:tcW w:w="5000" w:type="dxa"/>
          </w:tcPr>
          <w:p>
            <w:pPr>
              <w:spacing w:before="40" w:after="40" w:line="240" w:lineRule="auto"/>
              <w:ind w:firstLine="0"/>
            </w:pPr>
            <w:r>
              <w:rPr>
                <w:color w:val="1a1a1a"/>
                <w:sz w:val="13"/>
              </w:rPr>
              <w:t xml:space="preserve">Service on guardian ad litem or as directed by court. Under 15: cannot accept substituted service at dwelling. Verify guardian appointment with court clerk.</w:t>
            </w:r>
          </w:p>
        </w:tc>
      </w:tr>
      <w:tr>
        <w:tc>
          <w:tcPr>
            <w:tcW w:w="400" w:type="dxa"/>
          </w:tcPr>
          <w:p>
            <w:pPr>
              <w:spacing w:before="40" w:after="40"/>
              <w:jc w:val="center"/>
            </w:pPr>
            <w:r>
              <w:rPr>
                <w:color w:val="1a2744"/>
                <w:sz w:val="20"/>
              </w:rPr>
              <w:t xml:space="preserve">☐</w:t>
            </w:r>
          </w:p>
        </w:tc>
        <w:tc>
          <w:tcPr>
            <w:tcW w:w="4600" w:type="dxa"/>
          </w:tcPr>
          <w:p>
            <w:pPr>
              <w:spacing w:before="40" w:after="40" w:line="240" w:lineRule="auto"/>
              <w:ind w:firstLine="0"/>
            </w:pPr>
            <w:r>
              <w:rPr>
                <w:b/>
                <w:color w:val="1a2744"/>
                <w:sz w:val="14"/>
              </w:rPr>
              <w:t xml:space="preserve">Business Entity</w:t>
            </w:r>
          </w:p>
        </w:tc>
        <w:tc>
          <w:tcPr>
            <w:tcW w:w="5000" w:type="dxa"/>
          </w:tcPr>
          <w:p>
            <w:pPr>
              <w:spacing w:before="40" w:after="40" w:line="240" w:lineRule="auto"/>
              <w:ind w:firstLine="0"/>
            </w:pPr>
            <w:r>
              <w:rPr>
                <w:color w:val="1a1a1a"/>
                <w:sz w:val="13"/>
              </w:rPr>
              <w:t xml:space="preserve">Serve registered agent (listed with OK Secretary of State). If no registered agent: serve Secretary of State as statutory agent (12 O.S. § 2004(C)(4)). SOS forwards certified mail within 3 working days.</w:t>
            </w:r>
          </w:p>
        </w:tc>
      </w:tr>
      <w:tr>
        <w:tc>
          <w:tcPr>
            <w:tcW w:w="400" w:type="dxa"/>
          </w:tcPr>
          <w:p>
            <w:pPr>
              <w:spacing w:before="40" w:after="40"/>
              <w:jc w:val="center"/>
            </w:pPr>
            <w:r>
              <w:rPr>
                <w:color w:val="1a2744"/>
                <w:sz w:val="20"/>
              </w:rPr>
              <w:t xml:space="preserve">☐</w:t>
            </w:r>
          </w:p>
        </w:tc>
        <w:tc>
          <w:tcPr>
            <w:tcW w:w="4600" w:type="dxa"/>
          </w:tcPr>
          <w:p>
            <w:pPr>
              <w:spacing w:before="40" w:after="40" w:line="240" w:lineRule="auto"/>
              <w:ind w:firstLine="0"/>
            </w:pPr>
            <w:r>
              <w:rPr>
                <w:b/>
                <w:color w:val="1a2744"/>
                <w:sz w:val="14"/>
              </w:rPr>
              <w:t xml:space="preserve">Tribal Court / Tribal Land</w:t>
            </w:r>
          </w:p>
        </w:tc>
        <w:tc>
          <w:tcPr>
            <w:tcW w:w="5000" w:type="dxa"/>
          </w:tcPr>
          <w:p>
            <w:pPr>
              <w:spacing w:before="40" w:after="40" w:line="240" w:lineRule="auto"/>
              <w:ind w:firstLine="0"/>
            </w:pPr>
            <w:r>
              <w:rPr>
                <w:color w:val="1a1a1a"/>
                <w:sz w:val="13"/>
              </w:rPr>
              <w:t xml:space="preserve">Separate sovereign procedures. Contact tribal court clerk directly. Cross-deputization agreements may facilitate service. Cherokee Nation: (918) 207-3900. Choctaw Nation: (580) 920-7027. Muscogee (Creek): (918) 758-1400. Permission often required to enter tribal land.</w:t>
            </w:r>
          </w:p>
        </w:tc>
      </w:tr>
      <w:tr>
        <w:tc>
          <w:tcPr>
            <w:tcW w:w="400" w:type="dxa"/>
          </w:tcPr>
          <w:p>
            <w:pPr>
              <w:spacing w:before="40" w:after="40"/>
              <w:jc w:val="center"/>
            </w:pPr>
            <w:r>
              <w:rPr>
                <w:color w:val="1a2744"/>
                <w:sz w:val="20"/>
              </w:rPr>
              <w:t xml:space="preserve">☐</w:t>
            </w:r>
          </w:p>
        </w:tc>
        <w:tc>
          <w:tcPr>
            <w:tcW w:w="4600" w:type="dxa"/>
          </w:tcPr>
          <w:p>
            <w:pPr>
              <w:spacing w:before="40" w:after="40" w:line="240" w:lineRule="auto"/>
              <w:ind w:firstLine="0"/>
            </w:pPr>
            <w:r>
              <w:rPr>
                <w:b/>
                <w:color w:val="1a2744"/>
                <w:sz w:val="14"/>
              </w:rPr>
              <w:t xml:space="preserve">E-Service Consent</w:t>
            </w:r>
          </w:p>
        </w:tc>
        <w:tc>
          <w:tcPr>
            <w:tcW w:w="5000" w:type="dxa"/>
          </w:tcPr>
          <w:p>
            <w:pPr>
              <w:spacing w:before="40" w:after="40" w:line="240" w:lineRule="auto"/>
              <w:ind w:firstLine="0"/>
            </w:pPr>
            <w:r>
              <w:rPr>
                <w:color w:val="1a1a1a"/>
                <w:sz w:val="13"/>
              </w:rPr>
              <w:t xml:space="preserve">Written consent required per 12 O.S. § 2005(B). File Notice of Consent to Accept Service by Email. E-service effective on transmission (EFS Rule 8). Not for service of summons or docs requiring personal service. Automatic OUCMS notices do NOT constitute service.</w:t>
            </w:r>
          </w:p>
        </w:tc>
      </w:tr>
      <w:tr>
        <w:tc>
          <w:tcPr>
            <w:tcW w:w="400" w:type="dxa"/>
          </w:tcPr>
          <w:p>
            <w:pPr>
              <w:spacing w:before="40" w:after="40"/>
              <w:jc w:val="center"/>
            </w:pPr>
            <w:r>
              <w:rPr>
                <w:color w:val="1a2744"/>
                <w:sz w:val="20"/>
              </w:rPr>
              <w:t xml:space="preserve">☐</w:t>
            </w:r>
          </w:p>
        </w:tc>
        <w:tc>
          <w:tcPr>
            <w:tcW w:w="4600" w:type="dxa"/>
          </w:tcPr>
          <w:p>
            <w:pPr>
              <w:spacing w:before="40" w:after="40" w:line="240" w:lineRule="auto"/>
              <w:ind w:firstLine="0"/>
            </w:pPr>
            <w:r>
              <w:rPr>
                <w:b/>
                <w:color w:val="1a2744"/>
                <w:sz w:val="14"/>
              </w:rPr>
              <w:t xml:space="preserve">DOC Inmate</w:t>
            </w:r>
          </w:p>
        </w:tc>
        <w:tc>
          <w:tcPr>
            <w:tcW w:w="5000" w:type="dxa"/>
          </w:tcPr>
          <w:p>
            <w:pPr>
              <w:spacing w:before="40" w:after="40" w:line="240" w:lineRule="auto"/>
              <w:ind w:firstLine="0"/>
            </w:pPr>
            <w:r>
              <w:rPr>
                <w:color w:val="1a1a1a"/>
                <w:sz w:val="13"/>
              </w:rPr>
              <w:t xml:space="preserve">Serve warden/superintendent, not inmate directly (12 O.S. § 2004). Warden must reject service if inmate not present. Warden delivers documents to inmate.</w:t>
            </w:r>
          </w:p>
        </w:tc>
      </w:tr>
      <w:tr>
        <w:tc>
          <w:tcPr>
            <w:tcW w:w="400" w:type="dxa"/>
          </w:tcPr>
          <w:p>
            <w:pPr>
              <w:spacing w:before="40" w:after="40"/>
              <w:jc w:val="center"/>
            </w:pPr>
            <w:r>
              <w:rPr>
                <w:color w:val="1a2744"/>
                <w:sz w:val="20"/>
              </w:rPr>
              <w:t xml:space="preserve">☐</w:t>
            </w:r>
          </w:p>
        </w:tc>
        <w:tc>
          <w:tcPr>
            <w:tcW w:w="4600" w:type="dxa"/>
          </w:tcPr>
          <w:p>
            <w:pPr>
              <w:spacing w:before="40" w:after="40" w:line="240" w:lineRule="auto"/>
              <w:ind w:firstLine="0"/>
            </w:pPr>
            <w:r>
              <w:rPr>
                <w:b/>
                <w:color w:val="1a2744"/>
                <w:sz w:val="14"/>
              </w:rPr>
              <w:t xml:space="preserve">Service by Publication</w:t>
            </w:r>
          </w:p>
        </w:tc>
        <w:tc>
          <w:tcPr>
            <w:tcW w:w="5000" w:type="dxa"/>
          </w:tcPr>
          <w:p>
            <w:pPr>
              <w:spacing w:before="40" w:after="40" w:line="240" w:lineRule="auto"/>
              <w:ind w:firstLine="0"/>
            </w:pPr>
            <w:r>
              <w:rPr>
                <w:color w:val="1a1a1a"/>
                <w:sz w:val="13"/>
              </w:rPr>
              <w:t xml:space="preserve">Affidavit of due diligence required. One day per week for three consecutive weeks in newspaper authorized to publish legal notices. Clerk-signed notice. Limited jurisdiction - only relief sought in petition.</w:t>
            </w:r>
          </w:p>
        </w:tc>
      </w:tr>
    </w:tbl>
    <w:p>
      <w:pPr>
        <w:pStyle w:val="Heading1"/>
        <w:ind w:left="80" w:right="80" w:firstLine="0"/>
      </w:pPr>
      <w:r>
        <w:t xml:space="preserve"> 7. OSCN Links &amp; Resources </w:t>
      </w:r>
    </w:p>
    <w:tbl>
      <w:tblPr>
        <w:tblW w:w="5000" w:type="pct"/>
        <w:tblBorders>
          <w:top w:val="single" w:color="1a2744" w:sz="8"/>
          <w:left w:val="nil"/>
          <w:bottom w:val="single" w:color="1a2744" w:sz="8"/>
          <w:right w:val="nil"/>
          <w:insideH w:val="single" w:color="cccccc" w:sz="4"/>
          <w:insideV w:val="nil"/>
        </w:tblBorders>
        <w:tblCellMar>
          <w:top w:w="40" w:type="dxa"/>
          <w:left w:w="80" w:type="dxa"/>
          <w:bottom w:w="40" w:type="dxa"/>
          <w:right w:w="80" w:type="dxa"/>
        </w:tblCellMar>
      </w:tblPr>
      <w:tblGrid>
        <w:gridCol w:w="2800"/>
        <w:gridCol w:w="4200"/>
        <w:gridCol w:w="3000"/>
      </w:tblGrid>
      <w:tr>
        <w:trPr>
          <w:tblHeader/>
        </w:trPr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Resource</w:t>
            </w:r>
          </w:p>
        </w:tc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URL</w:t>
            </w:r>
          </w:p>
        </w:tc>
        <w:tc>
          <w:tcPr>
            <w:tcW w:w="0" w:type="auto"/>
            <w:shd w:val="clear" w:fill="1a2744"/>
          </w:tcPr>
          <w:p>
            <w:pPr>
              <w:spacing w:before="40" w:after="40"/>
              <w:ind w:firstLine="0"/>
            </w:pPr>
            <w:r>
              <w:rPr>
                <w:rFonts w:ascii="Calibri" w:hAnsi="Calibri"/>
                <w:b/>
                <w:color w:val="FFFFFF"/>
                <w:sz w:val="15"/>
              </w:rPr>
              <w:t xml:space="preserve">Purpose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OSCN Court Dockets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www.oscn.net/dockets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Search case records, view filings, track service returns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OSCN Court Forms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oksc.oscn.net/forms/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Entry of Appearance, IFP Affidavit, Notice of Change of Address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Process Server Forms (AOC)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www.oscn.net/static/forms/aoc_forms/processserver.asp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Application, Public Notice, Proof of Posting, Order, License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E-Filing Portal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efile.oscn.net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Electronic filing for attorneys and process servers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E-Filing Quick Start Guide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efile.oscn.net/docs/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Document prep: text PDF, 2-inch top margin, filing deadlines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OK Court Directory (77 counties)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www.oscn.net/courts/directory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Court clerk contact info for all 77 counties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SCRA Military Verification (DMDC)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scra.dmdc.osd.mil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Verify defendant active duty status; single record request</w:t>
            </w:r>
          </w:p>
        </w:tc>
      </w:tr>
      <w:tr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OK Secretary of State - Business Entity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www.sos.ok.gov</w:t>
            </w:r>
          </w:p>
        </w:tc>
        <w:tc>
          <w:tcPr>
            <w:tcW w:w="0" w:type="auto"/>
            <w:shd w:val="clear" w:fill="f5f5f5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Registered agent lookup for corporate service</w:t>
            </w:r>
          </w:p>
        </w:tc>
      </w:tr>
      <w:tr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OK Legislature - Statutes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www.oklegislature.gov</w:t>
            </w:r>
          </w:p>
        </w:tc>
        <w:tc>
          <w:tcPr>
            <w:tcW w:w="0" w:type="auto"/>
          </w:tcPr>
          <w:p>
            <w:pPr>
              <w:spacing w:before="20" w:after="20" w:line="240" w:lineRule="auto"/>
              <w:ind w:firstLine="0"/>
            </w:pPr>
            <w:r>
              <w:rPr>
                <w:rFonts w:ascii="Calibri" w:hAnsi="Calibri"/>
                <w:color w:val="1a1a1a"/>
                <w:sz w:val="14"/>
              </w:rPr>
              <w:t xml:space="preserve">Search OK statutes including Title 12</w:t>
            </w:r>
          </w:p>
        </w:tc>
      </w:tr>
    </w:tbl>
    <w:tbl>
      <w:tblPr>
        <w:tblW w:w="5000" w:type="pct"/>
        <w:tblBorders>
          <w:top w:val="single" w:color="d4a017" w:sz="8"/>
          <w:left w:val="single" w:color="d4a017" w:sz="8"/>
          <w:bottom w:val="single" w:color="d4a017" w:sz="8"/>
          <w:right w:val="single" w:color="d4a017" w:sz="8"/>
          <w:insideH w:val="nil"/>
          <w:insideV w:val="nil"/>
        </w:tblBorders>
        <w:shd w:val="clear" w:fill="FFF9E6"/>
      </w:tblPr>
      <w:tblGrid>
        <w:gridCol w:w="10000"/>
      </w:tblGrid>
      <w:tr>
        <w:tc>
          <w:tcPr>
            <w:tcW w:w="10000" w:type="dxa"/>
            <w:shd w:val="clear" w:fill="FFF9E6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/>
                <w:b/>
                <w:color w:val="1a2744"/>
                <w:sz w:val="18"/>
              </w:rPr>
              <w:t xml:space="preserve">DISCLAIMER</w:t>
            </w:r>
          </w:p>
          <w:p>
            <w:pPr>
              <w:spacing w:before="0" w:after="40"/>
              <w:ind w:firstLine="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 xml:space="preserve">Not a law firm. This document provides procedural information only. It does not constitute legal advice. Verify all statutes, rules, fees, and deadlines with official sources before relying on any procedural detail.</w:t>
            </w:r>
          </w:p>
          <w:p>
            <w:pPr>
              <w:spacing w:before="0" w:after="60"/>
              <w:ind w:firstLine="0"/>
              <w:jc w:val="center"/>
            </w:pPr>
            <w:r>
              <w:rPr>
                <w:rFonts w:ascii="Calibri" w:hAnsi="Calibri"/>
                <w:color w:val="666666"/>
                <w:sz w:val="12"/>
              </w:rPr>
              <w:t xml:space="preserve">Sources: CITATIONS.json | All claims sourced from official statutes and court rules as of 2026-04-20.</w:t>
            </w:r>
          </w:p>
        </w:tc>
      </w:tr>
    </w:tbl>
    <w:sectPr>
      <w:headerReference w:type="default" r:id="Rd906c025fcf54952"/>
      <w:footerReference w:type="default" r:id="Rdb747bd80fbf4a6d"/>
      <w:pgSz w:w="12240" w:h="15840"/>
      <w:pgMar w:top="1440" w:right="1440" w:bottom="1440" w:left="1440" w:header="720" w:footer="720"/>
    </w:sectPr>
  </w:body>
</w:document>
</file>

<file path=word/footer1.xml><?xml version="1.0" encoding="utf-8"?>
<w:ftr xmlns:w="http://schemas.openxmlformats.org/wordprocessingml/2006/main">
  <w:p>
    <w:pPr>
      <w:spacing w:before="0" w:after="0"/>
      <w:jc w:val="center"/>
    </w:pPr>
    <w:r>
      <w:rPr>
        <w:color w:val="666666"/>
        <w:sz w:val="14"/>
      </w:rPr>
      <w:t xml:space="preserve">Just Legal Solutions</w:t>
    </w:r>
    <w:r>
      <w:rPr>
        <w:color w:val="d4a017"/>
        <w:sz w:val="14"/>
      </w:rPr>
      <w:t xml:space="preserve"> · </w:t>
    </w:r>
    <w:r>
      <w:rPr>
        <w:color w:val="666666"/>
        <w:sz w:val="14"/>
      </w:rPr>
      <w:t xml:space="preserve">(539) 367-6832</w:t>
    </w:r>
    <w:r>
      <w:rPr>
        <w:color w:val="d4a017"/>
        <w:sz w:val="14"/>
      </w:rPr>
      <w:t xml:space="preserve"> · </w:t>
    </w:r>
    <w:r>
      <w:rPr>
        <w:color w:val="666666"/>
        <w:sz w:val="14"/>
      </w:rPr>
      <w:t xml:space="preserve">info@JustLegalSolutions.org</w:t>
    </w:r>
    <w:r>
      <w:rPr>
        <w:color w:val="d4a017"/>
        <w:sz w:val="14"/>
      </w:rPr>
      <w:t xml:space="preserve"> · </w:t>
    </w:r>
    <w:r>
      <w:rPr>
        <w:color w:val="666666"/>
        <w:sz w:val="14"/>
      </w:rPr>
      <w:t xml:space="preserve">justlegalsolutions.org</w:t>
    </w:r>
  </w:p>
  <w:p>
    <w:pPr>
      <w:spacing w:before="40" w:after="0"/>
      <w:jc w:val="center"/>
    </w:pPr>
    <w:r>
      <w:rPr>
        <w:color w:val="666666"/>
        <w:sz w:val="12"/>
      </w:rPr>
      <w:t xml:space="preserve">Joseph Iannazzi, NAPPS #14801</w:t>
    </w:r>
  </w:p>
  <w:p>
    <w:pPr>
      <w:spacing w:before="20" w:after="0"/>
      <w:jc w:val="center"/>
    </w:pPr>
    <w:r>
      <w:rPr>
        <w:color w:val="666666"/>
        <w:sz w:val="12"/>
      </w:rPr>
      <w:t xml:space="preserve">v1.0</w:t>
    </w:r>
    <w:r>
      <w:rPr>
        <w:color w:val="d4a017"/>
        <w:sz w:val="12"/>
      </w:rPr>
      <w:t xml:space="preserve"> · </w:t>
    </w:r>
    <w:r>
      <w:rPr>
        <w:color w:val="666666"/>
        <w:sz w:val="12"/>
      </w:rPr>
      <w:fldChar w:fldCharType="begin"/>
    </w:r>
    <w:r>
      <w:rPr>
        <w:color w:val="666666"/>
        <w:sz w:val="12"/>
      </w:rPr>
      <w:instrText xml:space="preserve"> PAGE </w:instrText>
    </w:r>
    <w:r>
      <w:rPr>
        <w:color w:val="666666"/>
        <w:sz w:val="12"/>
      </w:rPr>
      <w:fldChar w:fldCharType="separate"/>
    </w:r>
    <w:r>
      <w:rPr>
        <w:color w:val="666666"/>
        <w:sz w:val="12"/>
      </w:rPr>
      <w:t>1</w:t>
    </w:r>
    <w:r>
      <w:rPr>
        <w:color w:val="666666"/>
        <w:sz w:val="12"/>
      </w:rPr>
      <w:fldChar w:fldCharType="end"/>
    </w:r>
    <w:r>
      <w:rPr>
        <w:color w:val="d4a017"/>
        <w:sz w:val="12"/>
      </w:rPr>
      <w:t xml:space="preserve"> · </w:t>
    </w:r>
    <w:r>
      <w:rPr>
        <w:color w:val="666666"/>
        <w:sz w:val="12"/>
      </w:rPr>
      <w:t xml:space="preserve">Next review: 2026-10-20</w:t>
    </w:r>
  </w:p>
</w:ftr>
</file>

<file path=word/header1.xml><?xml version="1.0" encoding="utf-8"?>
<w:hdr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tbl>
    <w:tblPr>
      <w:tblW w:w="5000" w:type="pct"/>
      <w:tblBorders>
        <w:top w:val="nil"/>
        <w:left w:val="nil"/>
        <w:bottom w:val="single" w:color="1a2744" w:sz="4"/>
        <w:right w:val="nil"/>
        <w:insideH w:val="nil"/>
        <w:insideV w:val="nil"/>
      </w:tblBorders>
    </w:tblPr>
    <w:tblGrid>
      <w:gridCol w:w="5000"/>
      <w:gridCol w:w="5000"/>
    </w:tblGrid>
    <w:tr>
      <w:tc>
        <w:tcPr>
          <w:tcW w:w="5000" w:type="dxa"/>
          <w:vAlign w:val="center"/>
        </w:tcPr>
        <w:p>
          <w:pPr>
            <w:spacing w:before="0" w:after="0"/>
          </w:pPr>
          <w:r>
            <w:drawing>
              <wp:inline distT="0" distB="0" distL="0" distR="0">
                <wp:extent cx="1260000" cy="1260000"/>
                <wp:effectExtent l="0" t="0" r="0" b="0"/>
                <wp:docPr id="1" name="JLSLogo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JLS-Logo.png"/>
                        <pic:cNvPicPr/>
                      </pic:nvPicPr>
                      <pic:blipFill>
                        <a:blip r:embed="Rd8b03c10cf2240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1260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  <w:vAlign w:val="center"/>
        </w:tcPr>
        <w:p>
          <w:pPr>
            <w:spacing w:before="0" w:after="0"/>
            <w:jc w:val="right"/>
          </w:pPr>
          <w:r>
            <w:rPr>
              <w:b/>
              <w:color w:val="1a2744"/>
              <w:sz w:val="16"/>
            </w:rPr>
            <w:t>Attorney Quick Reference</w:t>
          </w:r>
          <w:r>
            <w:rPr>
              <w:color w:val="d4a017"/>
              <w:sz w:val="14"/>
            </w:rPr>
            <w:t xml:space="preserve"> | OK Service of Process</w:t>
          </w:r>
        </w:p>
      </w:tc>
    </w:tr>
  </w:tbl>
</w:hdr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>
  <w:style w:type="paragraph" w:styleId="Normal" w:default="true">
    <w:name w:val="Normal"/>
    <w:pPr>
      <w:spacing w:after="80" w:line="264" w:lineRule="auto"/>
    </w:pPr>
    <w:rPr>
      <w:rFonts w:ascii="Calibri" w:hAnsi="Calibri" w:eastAsia="Calibri"/>
      <w:color w:val="1a1a1a"/>
      <w:sz w:val="18"/>
    </w:rPr>
  </w:style>
  <w:style w:type="paragraph" w:styleId="Heading1">
    <w:name w:val="heading 1"/>
    <w:basedOn w:val="Normal"/>
    <w:pPr>
      <w:keepNext/>
      <w:keepLines/>
      <w:shd w:val="clear" w:fill="1a2744"/>
      <w:spacing w:before="280" w:after="100"/>
      <w:outlineLvl w:val="0"/>
    </w:pPr>
    <w:rPr>
      <w:rFonts w:ascii="Calibri" w:hAnsi="Calibri"/>
      <w:b/>
      <w:color w:val="FFFFFF"/>
      <w:sz w:val="22"/>
    </w:rPr>
  </w:style>
  <w:style w:type="paragraph" w:styleId="Title">
    <w:name w:val="Title"/>
    <w:basedOn w:val="Normal"/>
    <w:pPr>
      <w:spacing w:before="0" w:after="0"/>
    </w:pPr>
    <w:rPr>
      <w:rFonts w:ascii="Calibri" w:hAnsi="Calibri"/>
      <w:b/>
      <w:color w:val="1a2744"/>
      <w:sz w:val="48"/>
    </w:rPr>
  </w:style>
  <w:style w:type="paragraph" w:styleId="Subtitle">
    <w:name w:val="Subtitle"/>
    <w:basedOn w:val="Normal"/>
    <w:pPr>
      <w:spacing w:before="0" w:after="0"/>
    </w:pPr>
    <w:rPr>
      <w:rFonts w:ascii="Calibri" w:hAnsi="Calibri"/>
      <w:color w:val="d4a017"/>
      <w:sz w:val="28"/>
    </w:rPr>
  </w:style>
  <w:style w:type="paragraph" w:styleId="CaptionText">
    <w:name w:val="CaptionText"/>
    <w:basedOn w:val="Normal"/>
    <w:pPr>
      <w:spacing w:before="0" w:after="0"/>
    </w:pPr>
    <w:rPr>
      <w:i/>
      <w:color w:val="666666"/>
      <w:sz w:val="16"/>
    </w:rPr>
  </w:style>
  <w:style w:type="paragraph" w:styleId="TableCell">
    <w:name w:val="TableCell"/>
    <w:basedOn w:val="Normal"/>
    <w:pPr>
      <w:spacing w:before="20" w:after="20" w:line="240" w:lineRule="auto"/>
      <w:ind w:firstLine="0"/>
    </w:pPr>
    <w:rPr>
      <w:color w:val="1a1a1a"/>
      <w:sz w:val="15"/>
    </w:rPr>
  </w:style>
  <w:style w:type="paragraph" w:styleId="ChecklistItem">
    <w:name w:val="ChecklistItem"/>
    <w:basedOn w:val="Normal"/>
    <w:pPr>
      <w:spacing w:before="60" w:after="60" w:line="264" w:lineRule="auto"/>
      <w:ind w:left="360" w:hanging="360"/>
    </w:pPr>
    <w:rPr>
      <w:color w:val="1a1a1a"/>
      <w:sz w:val="17"/>
    </w:rPr>
  </w:style>
</w:styles>
</file>

<file path=word/_rels/document.xml.rels><?xml version='1.0' encoding='UTF-8'?>
<Relationships xmlns="http://schemas.openxmlformats.org/package/2006/relationships"><Relationship Type="http://schemas.openxmlformats.org/officeDocument/2006/relationships/styles" Target="styles.xml" Id="R370c95ba0a9e411f" /><Relationship Type="http://schemas.openxmlformats.org/officeDocument/2006/relationships/header" Target="header1.xml" Id="Rd906c025fcf54952" /><Relationship Type="http://schemas.openxmlformats.org/officeDocument/2006/relationships/footer" Target="footer1.xml" Id="Rdb747bd80fbf4a6d" /><Relationship Type="http://schemas.openxmlformats.org/officeDocument/2006/relationships/settings" Target="settings.xml" Id="R61a131b3bb514856" /></Relationships>
</file>

<file path=word/_rels/header1.xml.rels><?xml version='1.0' encoding='UTF-8'?>
<Relationships xmlns="http://schemas.openxmlformats.org/package/2006/relationships"><Relationship Type="http://schemas.openxmlformats.org/officeDocument/2006/relationships/image" Target="media/image.png" Id="Rd8b03c10cf224078" /></Relationships>
</file>